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辰阳镇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2024年度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部门整体支出绩效自评报告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本部门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设置党政机构5个,直属事业单位3个,综合行政执法机构1个。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镇党政机构：（1）党政办公室；（2） 党建办公室；（3）经济发展办公室；（4）社会事务办公室；（5） 自然资源和生态环境办公室；（6）社会治安和应急管理办公室。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公益性事业机构：（1）辰阳镇社会事业综合服务中心(退役军人服务站)；（2）辰阳镇农业综合服务中心；（3）辰阳镇便民服务中心。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镇综合行政执法机构：辰阳镇综合行政执法大队。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乡镇人大、纪检监察、人武部和群众团体等组织按有关规定设置。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楷体_GB2312" w:eastAsia="仿宋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截至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2024年底，部门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核定人员编制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人数为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100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人，实有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人数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187人，实有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在职在编人数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139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主要职能职责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负责处理镇机关内部综合协调及日常行政事务；负责组织、机构编制、人事管理考核等工作；负责文秘、信息、档案、保密、调研、重要会务、政府采购及行政后勤管理等工作；负责镇本级和下属单位的党群组织、纪检监察、人武、人大、政协等工作。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责编制和执行镇政府财政预决算工作，管理预算内外资金、编制财政预算草案；负责管理和监督本乡所属行政事业单位的财务活动；负责财政收支管理，镇财政性资金债权管理；负责政府性项目及大额固定资金等方面的内审工作；负责党委会等会议决定事项的督办工作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负责履行县发改局、经信局、商务局、环保局、安监局等部门委托镇政府行使的管理职能；负责辖区内现有企业的管理服务工作；负责辖区内科技、环保、安全生产等工作；负责农田基本建设的规划实施、先进生产技术推广应用；动植物防疫等农业和水利、林业等工作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负责辖区内村乡建设规划的编制和报批工作；负责辖区内建设工程、基础设施的建设和管理；负责镇土地收购储备以及出让前期工作；负责镇域内重大基础设施建设、集镇改造工作；负责指导、监督、协调国有土地上房屋征收补偿和集体土地上房屋征收补偿工作；负责辖区内房屋征收补偿政策的拟订、宣传、解释工作；负责审核、修订房屋征收补偿方案；组织实施旧房拆除的管理工作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5.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负责辖区内集镇道路保洁、道路绿化养护；负责履行县住建局、建管局等部门委托镇政府行使的管理职能；负责城乡环境卫生秩序管理、国土管理、农村个人建房管理等工作；依据职能会同有关部门做好镇域内交通秩序、工商行政、食品卫生、车辆营运等执法管理工作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6.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负责辖区内计划生育、民政、教育卫生文化体育等工作；负责社会保险、劳动监察、劳动仲裁、就业再就业等服务工作。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7.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负责辖区内综合治理、社会稳定、来信来访和司法调解、社区矫正、普法宣传等社会综合管理工作；负责协调社会治安基础防范工作。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8.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负责制定全镇新农村建设的具体措施、实施意见和工作方案；承担新农村建设的各项日常管理工作；在新农村建设领导小组领导下，负责指导协调各村、各有关部门在新农村建设中的任务、目标、计划及具体实施工作；负责做好驻村指导员的日常管理工作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9.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履行相关行政许可职能和提供行政审批服务；负责相关审批办证和提供政策咨询等行政服务工作，综合协调管理行政服务事务。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（四）绩效目标设定情况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2024年度，本部门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根据《《中华人民共和国预算法》、中发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[2018]34号、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中共湖南省委办公厅 湖南省人民政府办公厅《关于全面实施预算绩效管理的实施意见》（湘办发[2019]10号）、中共辰溪县委办公室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辰溪县人民政府办公室关于印发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《辰溪县全面实施预算绩效管理的实施意见》的通知（辰办发[202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]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号）、《辰溪县财政局关于开展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年度部门整体支出和专项支出绩效自评工作的通知》（辰财[202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]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54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号）精神，设定以下绩效目标：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1.改善民生、各类政策落实，做好民政救助工作；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2.乡镇经济发展，大力发展乡村农业、旅游业，促进乡村经济，农业，旅游业、环境等方面统筹发展；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3.严格按照财政审批预算执行，把控进度，确保本乡人员经费和必要的公用支出正常运转；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4.保证本年度各项目资金正常支付，做到项目资金转款专用，并及时拨付。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预算执行、使用、管理总体情况。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2024年度部门年初预算数为2200.47万元‌，全年预算数为4270.20万元，全年决算数为4270.10万元‌，预算执行率为100%‌。资金使用严格执行财经纪律，未发生挤占挪用、违规开支等问题。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（二）部门预算执行情况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right="0" w:firstLine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1.基本支出情况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度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本部门基本支出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3933.42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万元，占总支出的比重为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92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%，主要是为保障部门正常运转、完成日常工作任务而发生的各项支出。其中，人员经费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2793.48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万元，主要包括：基本工资、津贴补贴、奖金、社会保障缴费、其他工资福利支出、离休费、退休费、抚恤金、奖励金、住房公积金、其他对个人和家庭的补助支出；公用经费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1139.94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万元，主要包括：办公费、印刷费、邮电费、差旅费、会议费、福利费、日常维修费、专用资料及一般设备购置费、办公用房水电费、办公用房取暖费、办公用房物业管理费、公务用车运行维护费以及其他费用。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2.项目支出情况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度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本部门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支出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336.68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万元，占总支出的比重为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7.88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%，主要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用于抽水蓄能、农村改厕等上级项目资金的拨付，资金使用进度为100%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（三）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"三公"经费使用和管理情况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度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本部门“三公”经费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预算为18.00万元，实际支出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为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13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80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万元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较上年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减少2.17%。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其中，公务接待费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77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万元，公务用车购置及运行费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03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万元（其中，公务用车购置费0万元，公务用车运行费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4.03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万元），因公出国（境）费0万元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，严格落实中央八项规定，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厉行节约压缩一般性支出。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政府性基金预算支出情况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度本部门无政府性基金安排的支出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度本部门无国有资产经营预算支出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度本部门无社会保险基金预算支出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反映自评得分及评价等级。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经自评，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度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部门整体支出绩效得分为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96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分‌（满分100分），评价等级为‌“优”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，各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项指标均围绕职责履行和预算管理要求推进，预算执行效率提升显著，核心绩效目标完成率达‌9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%‌，资金使用效益突出。‌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（二）评价指标分析（或综合评价情况）。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2024年度本部门整体绩效目标设定紧密结合上级部门考核要求，聚焦公共服务、资源配置、监管效能等核心职能，细化分解为10项可量化指标，目标值设定参考历史数据与政策要求，例如“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’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三公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’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经费控制数”持续压缩，突出提质增效导向；预算配置优先“三保”支出，动态调整项目支出，优化资源配置结构；全年预算执行率达100%，按序时进度完成目标；预算管理完善制度建设，加强对预算项目绩效运行监控，明确“双监控”流程，预决算信息通过门户网站公开，公开内容细化至“项级科目”，公众查询便捷度提升；资产管理实现固定资产利用率达90%，完成国有资产清查，实现“一物一码”动态管理，账实相符率显著提高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2024年度本部门一般公共预算执行率达到100%，全镇各项工作稳中向好，社会效益与经济效益协同提升：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聚力产业发展，促进群众增收。一是粮食生产巩固提升。将“稳面积、稳产量”作为硬指标，大力开展耕地抛荒治理、“非粮化”整改，积极推动灾毁耕地复耕复种，实施单产提升“六大行动”，巩固大豆扩种成果，完成大豆玉米带状复合种植400亩、玉米净作面积6500亩、大豆1000亩，全镇粮食作物种植面积稳定3.07万亩以上，总产量1.3万吨以上。二是特色产业培育壮大。依托辰阳“经济林场”脐橙产业园，重点扶持以周家人村、大坪村、王家坪村为核心的优质柑橘基地建设，辐射带动周边各村大力发展脐橙优势产业，建设“万亩”脐橙示范园。推行“合作社（公司）+基地+农户”经营模式，培育龙头企业1家，种植养殖大户35户，专业合作社63家，家庭农场1家，实现“产、销、售”一体化转型升级，陆家湾生活馆产销一体、村社联动正稳步推进。目前全镇种植以脐橙为主的柑橘近3.7万亩、油茶6.5万余亩、黄桃2000余亩、猕猴桃600余亩、白蜜柚300余亩，无公害蔬菜1500余亩、中药材700余亩。三是文化旅游持续升温。积极推进旅游景区建设，锦岩塔生态文化公园列入县创建3A级旅游景区工作任务；顺应文旅市场新趋势，大力推广“村BA”、陆家湾村“围炉煮茶”“稻花鱼文化”节、沉浸式亲子采摘体验园等农文旅体活动，辰阳镇男子篮球代表队获2024年湖南省和美乡村篮球大赛（村BA）冠军，为“篮球之乡”添彩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聚力摘牌整改，推动有效衔接。一是坚守底线。全镇现有档内脱贫户815户2900人，监测户112户283人，已消除风险监测39户90人，未消除风险监测73户193人。严格落实防返贫动态监测和帮扶机制，守住不发生规模性返贫底线。二是狠抓整改。成立问题整改工作专班，定期召开整改工作研判会，对挂牌督办反馈问题全面研究、细致部署，通过集中培训、上户采集、严格复核、全面分析，目前县专班反馈问题数据811条已全部完成整改，基本实现信息准确，数据互通，易地扶贫搬迁户办事便利。三是精准帮扶。聚焦“一超过、两不愁、三保障”，制定“一户一策”落实精准帮扶措施。把脱贫人口稳岗就业作为巩固脱贫攻坚成果的重要举措，加大就业帮扶力度，新增公益性岗位56个，申报外出务工一次性交通补贴983人，预计发放补贴36.1万元，已到账963人。鼓励发展庭院经济和自主产业，申报庭院经济56户58人、自主产业792户2966人，预计发放奖补资金308.415万元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三）聚力基础建设，加快城乡融合。一是用心服务城市更新。全力配合县委、县政府沅江北岸一体化、辰州府、双溪沿线污水管网、生态陵园、沅辰高速等重点项目建设营造良好外部环境，处理征拆遗留问题51个，调解处置重点项目施工矛盾30余起，有效保障项目顺利推进。二是用心服务城市经营。协同行业主管部门推进七大市容提升工程，完成城区54处公共基础设施和37座旱厕提质改造任务。配合开展农贸市场经营秩序进行专项整治，大力开展爱国卫生运动，开展“十乱”大整治，巩固国卫成效。三是用心服务乡村建设。深化“四好农村路”示范创建，加强农村饮水安全工程运行管理，推进小型农田水利设施建设。因地制宜实施张家溜古村落、古树古木等保护工作。大力推广“六自”人居环境整治模式，目前已有7个村实施“六自”模式，占比54%。自筹资金70余万元，自建45个微景观（投工560个），创建美丽团寨5个。推动张家溜村创建农村人居环境整治示范村，投入20余万元用于自然村提质改造，陆家湾村成功申报省级“和美乡村”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四）聚力综合治理，强化民生保障。一是创新基层治理。持续推行“幸福家园基金协会”“红色物业”“社区+”服务管理模式和“社区、小区物业、驻区单位、社区居民、社区社会组织、志愿者”六方联治工作法，不断创新网格化治理，全镇共设立网格136个，每个网格配备网格长、网格员各1人，配备楼栋长985人，形成网格化基层治理体系。建成陆家湾村、陶瓷厂“幸福小院”和东星社区日间照料中心，实现基层治理共建共治共享。二是加强社会保障。全力推进城乡居民医保、养老保险应保尽保，农村低保、特困人员应纳尽纳。大力推广电子医保，落实创业就业帮扶、困难认定、社保返还、大病救助等民生事项。完善便民服务制度，全年为群众办理各类服务事项2万余件。三是维护安全稳定。以安全生产治本攻坚三年行动为抓手，紧盯自建房、非煤矿山、危险化学品、消防、交通、建筑施工等重点领域开展安全隐患排查整治、联合执法和宣传教育，严格按照“一单四制”要求落实闭环管理。积极推进“三源共治”，狠抓矛盾纠纷化解、信访维稳，全年开展“千人巡逻”300余次，调解各类矛盾纠纷259起，办结群众反映事项97件，化解信访积案8起。统筹抓好常态化扫黑除恶、利剑护蕾、禁毒等工作，全镇安全生产形势和社会大局和谐稳定。四是有效防灾减灾。组建应急救援队伍和消防半专业队伍，配强配足装备，开展应急演练，全面提高应急救援能力。成功应对强降雨天气和流域性洪水，扎实做好巡查排查、除险加固、避险转移、抢险救灾各项工作，实现库坝零垮塌、人员零伤亡，助力全县“5厘米守住一座城”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五）聚力环境提升，打造绿色生态。成立“辰阳镇配合中央、省、市环保督察工作领导小组”，按照“天蓝、地绿、水清”要求，扎实开展乡村生态环境治理。一是守护一片蓝天。认真开展大气污染防治工作，推进城区及周边扬尘治理，落实一周一巡查，特护期一天一巡查，发现问题15个，处置问题15个，确保空气质量优良率保持在90%以上。二是守护一江碧水。全面推行“河长制”，落实河长议事亭机制，加强流域水资源管理和水生态保护，快速有效核查处理图斑问题，处理水利部图斑13个，省级图斑4个。三是守护一方净土。深入开展农业面源污染防治，扎实推进农药减量增效和受污染耕地安全利用，完成周家人村、大洑潭村受污染耕地整治退出水稻种植面积100亩。四是守护一脉青山。全面推行“林长制”，通过各级林长、护林员的巡查监管，严厉打击了破坏森林资源违法行为。加强森林防火和对新造林地的抚育管理，植树30000余株、油茶建设造林600余亩，用材林造林700余亩。严格执行森林采伐限额制度，严格审核征占用林地项目，有效保护森林资源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预算支出序时进度偏慢，呈短时间集中支付态势，主要原因是部分项目因审批流程延迟导致支出进度缓慢；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‌绩效目标量化不足，主要是因为部分指标设定不够具体，难以精准衡量。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八、下一步改进措施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针对上述存在的问题及对外整体支出管理工作的需要，拟实施的改进措施如下：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1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进一步加强单位内部的预算管理意识，严格按照预算编制的相关制度和要求进行预算编制，进一步提高预算编制的科学性、严谨性和可控性，加强内部预算编制的审核和预算控制指标的下达。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加强单位财务管理，健全单位财务管理制度体系，规范单位财务行为。在费用报账支付时，按照预算规定的费用项目和用途进行资金使用审核、列报支付、财务核算，杜绝超支现象的发生。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3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严格编制政府采购年初预算和计划，规范各类资产的购置审批制度、资产采购制度、使用管理制度、资产处置和报废审批制度、资产管理岗位职责制度等。严格控制“三公”经费的规模和比例，把关“三公”经费支出的审核、审批，进一步细化“三公”经费的管理，合理压缩“三公”经费支出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4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对相关人员加强培训，特别是针对《预算法》《政府会计制度》等学习培训，规范部门预算收支核算，切实提高部门预算收支管理水平。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九、其他需要说明的情况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无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sectPr>
          <w:footerReference r:id="rId3" w:type="default"/>
          <w:pgSz w:w="11906" w:h="16838"/>
          <w:pgMar w:top="2098" w:right="1800" w:bottom="1984" w:left="1587" w:header="851" w:footer="992" w:gutter="0"/>
          <w:cols w:space="425" w:num="1"/>
          <w:docGrid w:type="lines" w:linePitch="312" w:charSpace="0"/>
        </w:sect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附件1-1 </w:t>
      </w:r>
    </w:p>
    <w:p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部门整体支出绩效评价基础数据表</w:t>
      </w:r>
    </w:p>
    <w:p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hint="default" w:eastAsia="仿宋_GB2312"/>
          <w:kern w:val="0"/>
          <w:sz w:val="24"/>
          <w:lang w:val="en-US" w:eastAsia="zh-CN"/>
        </w:rPr>
      </w:pPr>
      <w:r>
        <w:rPr>
          <w:rFonts w:hint="eastAsia" w:eastAsia="仿宋_GB2312"/>
          <w:kern w:val="0"/>
          <w:sz w:val="24"/>
          <w:lang w:val="en-US" w:eastAsia="zh-CN"/>
        </w:rPr>
        <w:t xml:space="preserve">填报单位：辰溪县辰阳镇人民政府                                        </w:t>
      </w:r>
    </w:p>
    <w:tbl>
      <w:tblPr>
        <w:tblStyle w:val="12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财政供养人员情况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年实际在职人数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187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经费控制情况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年预算数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13.98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13.8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4.03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4.03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9.98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9.77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382.29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336.68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382.29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336.68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3、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市级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专项资金</w:t>
            </w:r>
          </w:p>
          <w:p>
            <w:pPr>
              <w:widowControl/>
              <w:ind w:firstLine="600" w:firstLineChars="3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（一个专项一行）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4、其他事业类发展资金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公用经费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305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202.2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846.13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其中：办公费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87.2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84.78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30.79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22.5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41.53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15.8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楼堂馆所控制情况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br w:type="textWrapping"/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批复规模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（㎡）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预算投资（万元）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实际投资（万元）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投资概算控制率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厉行节约保障措施</w:t>
            </w:r>
          </w:p>
        </w:tc>
        <w:tc>
          <w:tcPr>
            <w:tcW w:w="6110" w:type="dxa"/>
            <w:gridSpan w:val="6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>‌制度约束：严控非刚性支出，预算编制实行“零基预算”，压减一般性支出；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>‌日常管控：‌‌办公‌：无纸化流转文件，双面打印，水电费压减5%；‌公务‌：公务接待、差旅住宿分级限标，压减“三公”经费；‌节能‌：公共机构能耗下降8%，推广节能灯具、循环用水；‌餐饮‌：食堂动态备餐，食材浪费率≤3%。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>‌监督考核：‌季度专项审计，节约成效挂钩30%绩效考核，开通社会监督渠道。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‌数字赋能‌：公务用车调度平台优化效率（单车成本下降）。 </w:t>
            </w:r>
          </w:p>
        </w:tc>
      </w:tr>
    </w:tbl>
    <w:p>
      <w:pPr>
        <w:pStyle w:val="1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lang w:val="en-US" w:eastAsia="zh-CN"/>
        </w:rPr>
      </w:pPr>
      <w:r>
        <w:rPr>
          <w:rFonts w:eastAsia="仿宋_GB2312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      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     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附件1-2</w:t>
      </w:r>
    </w:p>
    <w:p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整体支出绩效自评表</w:t>
      </w:r>
    </w:p>
    <w:tbl>
      <w:tblPr>
        <w:tblStyle w:val="12"/>
        <w:tblW w:w="9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323"/>
        <w:gridCol w:w="1124"/>
        <w:gridCol w:w="997"/>
        <w:gridCol w:w="903"/>
        <w:gridCol w:w="995"/>
        <w:gridCol w:w="790"/>
        <w:gridCol w:w="678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824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辰溪县辰阳镇人民政府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年度预算申请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4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预算数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全年预算数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全年执行数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2200.47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4270.20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4270.10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按收入性质分：</w:t>
            </w:r>
          </w:p>
        </w:tc>
        <w:tc>
          <w:tcPr>
            <w:tcW w:w="38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3427.08</w:t>
            </w:r>
          </w:p>
        </w:tc>
        <w:tc>
          <w:tcPr>
            <w:tcW w:w="38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3399.42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政府性基金拨款：</w:t>
            </w:r>
          </w:p>
        </w:tc>
        <w:tc>
          <w:tcPr>
            <w:tcW w:w="38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项目支出：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336.68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38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00" w:firstLineChars="70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其他资金：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843.11</w:t>
            </w:r>
          </w:p>
        </w:tc>
        <w:tc>
          <w:tcPr>
            <w:tcW w:w="38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3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8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实际完成情况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1.改善民生、各类政策落实，做好民政救助工作；2.乡镇经济发展，大力发展乡村农业、旅游业，促进乡村经济，农业，旅游业、环境等方面统筹发展；3.严格按照财政审批预算执行，把控进度，确保本乡人员经费和必要的公用支出正常运转；4.保证本年度各项目资金正常支付，做到项目资金转款专用，并及时拨付。  </w:t>
            </w:r>
          </w:p>
        </w:tc>
        <w:tc>
          <w:tcPr>
            <w:tcW w:w="38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.聚力产业发展，促进群众增收。粮食生产巩固提升，特色产业培育壮大，文化旅游持续升温；2.聚力摘牌整改，推动有效衔接。坚守底线，严格落实防返贫动态监测和帮扶机制，守住不发生规模性返贫底线；3.聚力基础建设，加快城乡融合。用心服务城市更新、城市经营、乡村建设；4.聚力综合治理，强化民生保障。创新基层治理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形成网格化基层治理体系；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加强社会保障，完善便民服务制度，全年为群众办理各类服务事项2万余件；维护安全稳定，开展安全隐患排查整治；有效防灾减灾。组建应急救援队伍和消防半专业队伍，配强配足装备，开展应急演练，全面提高应急救援能力。5.聚力环境提升，打造绿色生态。成立“辰阳镇配合中央、省、市环保督察工作领导小组”，按照“天蓝、地绿、水清”要求，扎实开展乡村生态环境治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成本指标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0分)</w:t>
            </w:r>
          </w:p>
        </w:tc>
        <w:tc>
          <w:tcPr>
            <w:tcW w:w="1128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经济成本指标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部门整体支出成本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4270.2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4270.10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社会成本指标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社会成本节约率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28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生态环境成本指标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生态环境成本节约率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0分)</w:t>
            </w:r>
          </w:p>
        </w:tc>
        <w:tc>
          <w:tcPr>
            <w:tcW w:w="11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财政供养人数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140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139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完成主要党政工作任务数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完成为民办实事工作任务数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完成经济建设主要工作任务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完成社会建设主要工作任务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完成生态建设主要工作任务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完成主要项目建设主要工作任务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公共财政支出进度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农民人均纯收入水平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全社会固定资产投资增速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响应服务时限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96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群众投诉处理及时率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乡镇各项补贴资金发放率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1.98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因个别农户换卡等原因导致补贴发放失败，将进一步加强补贴系统信息维护，确保及时更新信息。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工资发放及时率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11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全社会固定资产投资总量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604.85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农村人均纯收入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1.19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“三公”经费同比下降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1.29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节能降耗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粮食种植面积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30700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30700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粮食总产量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13000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13000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城镇新增就业实名制登记人数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1354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农村劳动力新增转移就业实名制登记人数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2755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城乡居民养老保险参保率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92.2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新型农村合作医疗参合率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88.67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1.86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因城镇范围广，人数多，农合缴费标准提高，部分居民参保意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愿下降，将进一步加强宣传，确保提高参合率。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清理乡村垃圾数量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森林覆盖率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56.08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完成植树造林面积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3000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400000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完成活立木蓄积量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128000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落实各项惠农政策，促进乡镇工作持续开展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落实到位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落实到位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人民群众满意度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91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7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99.84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</w:tbl>
    <w:p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        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        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JhengHei">
    <w:altName w:val="方正书宋_GBK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6850E"/>
    <w:multiLevelType w:val="singleLevel"/>
    <w:tmpl w:val="F3F6850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DEAE792"/>
    <w:multiLevelType w:val="singleLevel"/>
    <w:tmpl w:val="FDEAE79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DNmZGY5ODE4YTVlYjYxZjc0MjRkNGFmZDRkY2UifQ=="/>
    <w:docVar w:name="KSO_WPS_MARK_KEY" w:val="9920a277-c0c3-43b4-93d3-1636fe398e0b"/>
  </w:docVars>
  <w:rsids>
    <w:rsidRoot w:val="753C4E9B"/>
    <w:rsid w:val="046A73C6"/>
    <w:rsid w:val="05E95AA6"/>
    <w:rsid w:val="0C180A78"/>
    <w:rsid w:val="0CAF7D6D"/>
    <w:rsid w:val="0D276746"/>
    <w:rsid w:val="0D464D9C"/>
    <w:rsid w:val="0DD52794"/>
    <w:rsid w:val="0E956870"/>
    <w:rsid w:val="10C666A5"/>
    <w:rsid w:val="1223366A"/>
    <w:rsid w:val="143877FD"/>
    <w:rsid w:val="17C820DA"/>
    <w:rsid w:val="19E805B2"/>
    <w:rsid w:val="19FE7B11"/>
    <w:rsid w:val="22FE234B"/>
    <w:rsid w:val="277E6F02"/>
    <w:rsid w:val="29990575"/>
    <w:rsid w:val="2AF6742D"/>
    <w:rsid w:val="2E833798"/>
    <w:rsid w:val="312A2265"/>
    <w:rsid w:val="36FC0F5D"/>
    <w:rsid w:val="375773F8"/>
    <w:rsid w:val="38CC5315"/>
    <w:rsid w:val="393E32BB"/>
    <w:rsid w:val="419B2857"/>
    <w:rsid w:val="41D71DA8"/>
    <w:rsid w:val="45D249F5"/>
    <w:rsid w:val="4C6611ED"/>
    <w:rsid w:val="552A0475"/>
    <w:rsid w:val="578D10CB"/>
    <w:rsid w:val="5A5915AC"/>
    <w:rsid w:val="5ADCBAFE"/>
    <w:rsid w:val="5BBFCAB4"/>
    <w:rsid w:val="5FF2DE75"/>
    <w:rsid w:val="63FD7B2B"/>
    <w:rsid w:val="69FCAEC3"/>
    <w:rsid w:val="6A12486A"/>
    <w:rsid w:val="729D4D9F"/>
    <w:rsid w:val="753C4E9B"/>
    <w:rsid w:val="75DB1754"/>
    <w:rsid w:val="77CA616D"/>
    <w:rsid w:val="781113A7"/>
    <w:rsid w:val="791E6510"/>
    <w:rsid w:val="7BBF3D9F"/>
    <w:rsid w:val="7C8D4A41"/>
    <w:rsid w:val="7C9048DB"/>
    <w:rsid w:val="7FEBFEC0"/>
    <w:rsid w:val="8BFD0F46"/>
    <w:rsid w:val="9E9DA5BC"/>
    <w:rsid w:val="BB774F43"/>
    <w:rsid w:val="DFFEECDB"/>
    <w:rsid w:val="EB6F8D51"/>
    <w:rsid w:val="EFED912A"/>
    <w:rsid w:val="F3B62FE0"/>
    <w:rsid w:val="F52F9AEC"/>
    <w:rsid w:val="F57E8EC1"/>
    <w:rsid w:val="FBD70ACC"/>
    <w:rsid w:val="FE89442A"/>
    <w:rsid w:val="FE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5"/>
    <w:unhideWhenUsed/>
    <w:qFormat/>
    <w:uiPriority w:val="1"/>
    <w:pPr>
      <w:spacing w:before="9"/>
      <w:ind w:left="108"/>
    </w:pPr>
    <w:rPr>
      <w:rFonts w:hint="eastAsia" w:ascii="Microsoft JhengHei" w:hAnsi="Microsoft JhengHei" w:eastAsia="Microsoft JhengHei"/>
      <w:b/>
      <w:sz w:val="32"/>
    </w:rPr>
  </w:style>
  <w:style w:type="paragraph" w:styleId="5">
    <w:name w:val="toc 5"/>
    <w:basedOn w:val="1"/>
    <w:next w:val="1"/>
    <w:qFormat/>
    <w:uiPriority w:val="99"/>
    <w:pPr>
      <w:ind w:left="1680" w:leftChars="800"/>
    </w:pPr>
    <w:rPr>
      <w:szCs w:val="21"/>
    </w:rPr>
  </w:style>
  <w:style w:type="paragraph" w:styleId="6">
    <w:name w:val="Body Text Indent"/>
    <w:basedOn w:val="1"/>
    <w:next w:val="3"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4"/>
    <w:next w:val="4"/>
    <w:qFormat/>
    <w:uiPriority w:val="0"/>
    <w:pPr>
      <w:ind w:firstLine="420"/>
    </w:pPr>
    <w:rPr>
      <w:szCs w:val="20"/>
    </w:rPr>
  </w:style>
  <w:style w:type="paragraph" w:styleId="11">
    <w:name w:val="Body Text First Indent 2"/>
    <w:basedOn w:val="6"/>
    <w:next w:val="10"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标题1"/>
    <w:basedOn w:val="2"/>
    <w:qFormat/>
    <w:uiPriority w:val="0"/>
    <w:rPr>
      <w:rFonts w:eastAsia="黑体"/>
    </w:rPr>
  </w:style>
  <w:style w:type="paragraph" w:customStyle="1" w:styleId="16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823</Words>
  <Characters>843</Characters>
  <Lines>0</Lines>
  <Paragraphs>0</Paragraphs>
  <TotalTime>490</TotalTime>
  <ScaleCrop>false</ScaleCrop>
  <LinksUpToDate>false</LinksUpToDate>
  <CharactersWithSpaces>1047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2024-02-23T10:03:00Z</dcterms:created>
  <dc:creator>1402836399</dc:creator>
  <cp:lastModifiedBy>admin</cp:lastModifiedBy>
  <cp:lastPrinted>2024-02-27T11:24:00Z</cp:lastPrinted>
  <dcterms:modified xsi:type="dcterms:W3CDTF">2025-05-20T10:21:30Z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4B545E2748234224AA7888E0D1AE4147_13</vt:lpwstr>
  </property>
  <property fmtid="{D5CDD505-2E9C-101B-9397-08002B2CF9AE}" pid="4" name="KSOTemplateDocerSaveRecord">
    <vt:lpwstr>eyJoZGlkIjoiN2YzNjBkOTgyNWQ1YTMxYzM3MzMwNWFiODNmOWIzYWMiLCJ1c2VySWQiOiIyNjQxMDUwMTIifQ==</vt:lpwstr>
  </property>
</Properties>
</file>