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jc w:val="center"/>
        <w:rPr>
          <w:rFonts w:ascii="仿宋" w:eastAsia="仿宋"/>
          <w:bCs/>
          <w:color w:val="auto"/>
          <w:sz w:val="32"/>
          <w:szCs w:val="32"/>
          <w:u w:val="none"/>
        </w:rPr>
      </w:pPr>
      <w:r>
        <w:rPr>
          <w:rFonts w:ascii="方正小标宋简体" w:eastAsia="方正小标宋简体" w:cs="方正小标宋简体" w:hint="eastAsia"/>
          <w:b w:val="0"/>
          <w:bCs w:val="0"/>
          <w:color w:val="auto"/>
          <w:sz w:val="44"/>
          <w:szCs w:val="44"/>
          <w:u w:val="none"/>
        </w:rPr>
        <w:t>文本依据详细对照表</w:t>
      </w:r>
    </w:p>
    <w:tbl>
      <w:tblPr>
        <w:jc w:val="cent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884"/>
        <w:gridCol w:w="4764"/>
      </w:tblGrid>
      <w:tr>
        <w:trPr>
          <w:trHeight w:val="554"/>
          <w:tblHeader/>
        </w:trPr>
        <w:tc>
          <w:tcPr>
            <w:tcW w:w="4884" w:type="dxa"/>
            <w:noWrap/>
            <w:vAlign w:val="center"/>
          </w:tcPr>
          <w:p>
            <w:pPr>
              <w:snapToGrid w:val="0"/>
              <w:ind w:firstLineChars="200" w:firstLine="560"/>
              <w:jc w:val="center"/>
              <w:rPr>
                <w:rFonts w:eastAsia="方正黑体_GBK"/>
                <w:color w:val="auto"/>
                <w:sz w:val="28"/>
                <w:szCs w:val="28"/>
                <w:u w:val="none"/>
              </w:rPr>
            </w:pPr>
            <w:r>
              <w:rPr>
                <w:rFonts w:eastAsia="方正黑体_GBK"/>
                <w:color w:val="auto"/>
                <w:sz w:val="28"/>
                <w:szCs w:val="28"/>
                <w:u w:val="none"/>
              </w:rPr>
              <w:t>正文条款</w:t>
            </w:r>
          </w:p>
        </w:tc>
        <w:tc>
          <w:tcPr>
            <w:tcW w:w="4764" w:type="dxa"/>
            <w:noWrap/>
            <w:vAlign w:val="center"/>
          </w:tcPr>
          <w:p>
            <w:pPr>
              <w:snapToGrid w:val="0"/>
              <w:jc w:val="center"/>
              <w:rPr>
                <w:rFonts w:eastAsia="方正黑体_GBK"/>
                <w:color w:val="auto"/>
                <w:sz w:val="28"/>
                <w:szCs w:val="28"/>
                <w:u w:val="none"/>
              </w:rPr>
            </w:pPr>
            <w:r>
              <w:rPr>
                <w:rFonts w:eastAsia="方正黑体_GBK"/>
                <w:color w:val="auto"/>
                <w:sz w:val="28"/>
                <w:szCs w:val="28"/>
                <w:u w:val="none"/>
              </w:rPr>
              <w:t>依    据</w:t>
            </w:r>
          </w:p>
        </w:tc>
      </w:tr>
      <w:tr>
        <w:trPr>
          <w:trHeight w:val="1484"/>
        </w:trPr>
        <w:tc>
          <w:tcPr>
            <w:tcW w:w="4884" w:type="dxa"/>
            <w:noWrap/>
            <w:vAlign w:val="center"/>
          </w:tcPr>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b w:val="0"/>
                <w:bCs w:val="0"/>
                <w:color w:val="auto"/>
                <w:sz w:val="28"/>
                <w:szCs w:val="28"/>
                <w:u w:val="none"/>
                <w:lang w:val="en-US" w:eastAsia="zh-CN"/>
              </w:rPr>
            </w:pPr>
            <w:r>
              <w:rPr>
                <w:rFonts w:ascii="仿宋" w:eastAsia="仿宋" w:cs="仿宋" w:hint="eastAsia"/>
                <w:b w:val="0"/>
                <w:bCs w:val="0"/>
                <w:color w:val="auto"/>
                <w:sz w:val="28"/>
                <w:szCs w:val="28"/>
                <w:u w:val="none"/>
                <w:lang w:val="en-US" w:eastAsia="zh-CN"/>
              </w:rPr>
              <w:t>为深入贯彻落实习近平生态文明思想，积极践行绿色发展理念，有效提升我县秸秆综合利用和露天禁烧管控能力，保障人民群众身体健康，根据《中华人民共和国大气污染防治法》《湖南省大气污染防治条例》等相关法律法规规定，结合我县实际，现将秸秆禁烧区、限烧区划定有关事项通告如下：</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b w:val="0"/>
                <w:bCs w:val="0"/>
                <w:color w:val="auto"/>
                <w:sz w:val="28"/>
                <w:szCs w:val="28"/>
                <w:u w:val="none"/>
                <w:lang w:val="en-US" w:eastAsia="zh-CN"/>
              </w:rPr>
            </w:pPr>
            <w:r>
              <w:rPr>
                <w:rFonts w:ascii="仿宋" w:eastAsia="仿宋" w:cs="仿宋" w:hint="eastAsia"/>
                <w:b w:val="0"/>
                <w:bCs w:val="0"/>
                <w:color w:val="auto"/>
                <w:sz w:val="28"/>
                <w:szCs w:val="28"/>
                <w:u w:val="none"/>
                <w:lang w:val="en-US" w:eastAsia="zh-CN"/>
              </w:rPr>
              <w:t>一、禁烧种类</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b w:val="0"/>
                <w:bCs w:val="0"/>
                <w:color w:val="auto"/>
                <w:sz w:val="28"/>
                <w:szCs w:val="28"/>
                <w:u w:val="none"/>
                <w:lang w:val="en-US" w:eastAsia="zh-CN"/>
              </w:rPr>
              <w:t>禁止露天焚烧秸秆的种类包括水稻、玉米、油菜、棉花、薯类、豆类、烟草等农作物采收后的剩余部分，荒草、枯枝、落叶等生物质参照秸秆管理。</w:t>
            </w: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《湖南省生态环境厅关于加快推进秸秆焚烧区及限烧区禁烧时段划定工作的通知》</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sz w:val="28"/>
                <w:szCs w:val="28"/>
                <w:lang w:val="en-US" w:eastAsia="zh-CN"/>
              </w:rPr>
            </w:pPr>
            <w:r>
              <w:rPr>
                <w:rFonts w:ascii="仿宋" w:eastAsia="仿宋" w:cs="仿宋" w:hint="eastAsia"/>
                <w:b w:val="0"/>
                <w:bCs w:val="0"/>
                <w:color w:val="auto"/>
                <w:kern w:val="2"/>
                <w:sz w:val="28"/>
                <w:szCs w:val="28"/>
                <w:u w:val="none"/>
                <w:lang w:val="en-US" w:eastAsia="zh-CN" w:bidi="ar-SA"/>
              </w:rPr>
              <w:t>为打赢大气污染防治攻坚战，根据《中华人民共和国大气污染防治法》《湖南省大气污染防治条例》要求，设区的市、自治州、县(市、区)人民政府应划定区域禁止露天焚烧秸秆、落叶等产生烟尘污染的物质。请你们参考《湖南省秸秆禁烧区及限烧区禁烧时段划定严控大气污染的指导意见(试行)》(见附件)，结合实际，加快推进秸秆禁烧区及限烧区禁烧时段划定工作，并将划定情况及时报省厅大气处。</w:t>
            </w:r>
          </w:p>
        </w:tc>
      </w:tr>
      <w:tr>
        <w:trPr>
          <w:trHeight w:val="571"/>
        </w:trPr>
        <w:tc>
          <w:tcPr>
            <w:tcW w:w="4884" w:type="dxa"/>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二、禁烧区范围及要求</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（一）禁</w:t>
            </w:r>
            <w:r>
              <w:rPr>
                <w:rFonts w:ascii="仿宋" w:eastAsia="仿宋" w:cs="仿宋" w:hint="eastAsia"/>
                <w:color w:val="auto"/>
                <w:sz w:val="28"/>
                <w:szCs w:val="28"/>
                <w:u w:val="none"/>
              </w:rPr>
              <w:t>烧</w:t>
            </w:r>
            <w:r>
              <w:rPr>
                <w:rFonts w:ascii="仿宋" w:eastAsia="仿宋" w:cs="仿宋" w:hint="eastAsia"/>
                <w:color w:val="auto"/>
                <w:sz w:val="28"/>
                <w:szCs w:val="28"/>
                <w:u w:val="none"/>
                <w:lang w:eastAsia="zh-CN"/>
              </w:rPr>
              <w:t>区范围</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1.辰阳镇：东星社区、泡潭村、六弓塘村、柘坪村、桑木桥村、沙坪村、大洑潭村、桐湾溪村、陆家湾村、锦岩村、桐湾溪村、大坪村、到头园、牛溪、竹桥村、王家坪村、桑木桥村、进马溪村。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2.锦滨镇：锦滨社区、华中社区、大路口村、龙头垴村、花塘坪村、石碧村、装粮埠村、大路口村、龙头垴村、杨家湾村、紫金山村、木路口村、石溪溶村、新店村。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3.潭湾镇：潭湾居委会、马路坪村、三甲塘村、柞溪村、桥头村、麻田村、南庄坪村、蛇形村、西庄坪村、杨溪村、报木洞村、双桥村向家人</w:t>
            </w:r>
            <w:r>
              <w:rPr>
                <w:rFonts w:ascii="仿宋" w:eastAsia="仿宋" w:cs="仿宋"/>
                <w:b w:val="0"/>
                <w:bCs w:val="0"/>
                <w:color w:val="auto"/>
                <w:kern w:val="2"/>
                <w:sz w:val="28"/>
                <w:szCs w:val="28"/>
                <w:u w:val="none"/>
                <w:lang w:val="en-US" w:eastAsia="zh-CN" w:bidi="ar-SA"/>
              </w:rPr>
              <w:t>、</w:t>
            </w:r>
            <w:r>
              <w:rPr>
                <w:rFonts w:ascii="仿宋" w:eastAsia="仿宋" w:cs="仿宋" w:hint="eastAsia"/>
                <w:b w:val="0"/>
                <w:bCs w:val="0"/>
                <w:color w:val="auto"/>
                <w:kern w:val="2"/>
                <w:sz w:val="28"/>
                <w:szCs w:val="28"/>
                <w:u w:val="none"/>
                <w:lang w:val="en-US" w:eastAsia="zh-CN" w:bidi="ar-SA"/>
              </w:rPr>
              <w:t>柏林村、石牌村、桥湾村、马路坪村六耳陀。</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4.火马冲镇：沙堆村、罗家湾村、火马冲村、万寿村、兴隆村、大桥村、燕子洞村、山塘驿村、寺前铺村、山岳坡村、顾家坪村。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5.小龙门乡：龙门溪社区、中伙铺村、小龙门村、方子山村。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6.修溪镇：万家垴村、征溪口村、木洲村。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7.田湾镇：田湾村、铺里村、杨梅坳村。</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8.船溪乡：船溪驿村、厂坪村、小溪河村、桐木冲村、长坡田头坪村、船溪驿村。</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rPr>
            </w:pP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《湖南省大气污染防治条例》</w:t>
            </w:r>
          </w:p>
          <w:p>
            <w:pPr>
              <w:keepNext w:val="0"/>
              <w:keepLines w:val="0"/>
              <w:pageBreakBefore w:val="0"/>
              <w:widowControl w:val="0"/>
              <w:kinsoku/>
              <w:wordWrap/>
              <w:overflowPunct/>
              <w:topLinePunct w:val="0"/>
              <w:autoSpaceDE/>
              <w:autoSpaceDN/>
              <w:bidi w:val="0"/>
              <w:adjustRightInd/>
              <w:snapToGrid w:val="0"/>
              <w:spacing w:line="400" w:lineRule="exact"/>
              <w:ind w:firstLine="640"/>
              <w:jc w:val="both"/>
              <w:textAlignment w:val="auto"/>
              <w:outlineLvl w:val="9"/>
              <w:rPr>
                <w:rFonts w:ascii="仿宋" w:eastAsia="仿宋" w:cs="仿宋" w:hint="eastAsia"/>
                <w:b w:val="0"/>
                <w:bCs w:val="0"/>
                <w:color w:val="auto"/>
                <w:kern w:val="2"/>
                <w:sz w:val="28"/>
                <w:szCs w:val="28"/>
                <w:u w:val="none"/>
                <w:lang w:val="en-US" w:eastAsia="zh-CN" w:bidi="ar-SA"/>
              </w:rPr>
            </w:pPr>
            <w:r>
              <w:rPr>
                <w:rFonts w:ascii="仿宋" w:eastAsia="仿宋" w:cs="仿宋" w:hint="eastAsia"/>
                <w:b/>
                <w:bCs/>
                <w:color w:val="auto"/>
                <w:kern w:val="2"/>
                <w:sz w:val="28"/>
                <w:szCs w:val="28"/>
                <w:u w:val="none"/>
                <w:lang w:val="en-US" w:eastAsia="zh-CN" w:bidi="ar-SA"/>
              </w:rPr>
              <w:t xml:space="preserve">第二十五条 </w:t>
            </w:r>
            <w:r>
              <w:rPr>
                <w:rFonts w:ascii="仿宋" w:eastAsia="仿宋" w:cs="仿宋" w:hint="eastAsia"/>
                <w:b w:val="0"/>
                <w:bCs w:val="0"/>
                <w:color w:val="auto"/>
                <w:kern w:val="2"/>
                <w:sz w:val="28"/>
                <w:szCs w:val="28"/>
                <w:u w:val="none"/>
                <w:lang w:val="en-US" w:eastAsia="zh-CN" w:bidi="ar-SA"/>
              </w:rPr>
              <w:t xml:space="preserve"> 县级以上人民政府及其有关主管部门应当鼓励和支持采用先进适用技术，对秸秆、落叶等进行综合利用。禁止在人口集中地区、机场周围、交通干线附近等区域露天焚烧秸秆、落叶、垃圾等产生烟尘污染的物质。具体范围由设区的市、自治州、县(市、区)人民政府划定，并向社会公布。</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exact"/>
              <w:ind w:firstLine="640"/>
              <w:jc w:val="both"/>
              <w:textAlignment w:val="auto"/>
              <w:outlineLvl w:val="9"/>
              <w:rPr>
                <w:rFonts w:ascii="仿宋" w:eastAsia="仿宋" w:cs="仿宋" w:hint="eastAsia"/>
                <w:b w:val="0"/>
                <w:bCs w:val="0"/>
                <w:color w:val="auto"/>
                <w:kern w:val="2"/>
                <w:sz w:val="28"/>
                <w:szCs w:val="28"/>
                <w:u w:val="none"/>
                <w:lang w:val="en-US" w:eastAsia="zh-CN" w:bidi="ar-SA"/>
              </w:rPr>
            </w:pPr>
            <w:r>
              <w:rPr>
                <w:rFonts w:ascii="仿宋" w:eastAsia="仿宋" w:cs="仿宋" w:hint="eastAsia"/>
                <w:b w:val="0"/>
                <w:bCs w:val="0"/>
                <w:color w:val="auto"/>
                <w:kern w:val="2"/>
                <w:sz w:val="28"/>
                <w:szCs w:val="28"/>
                <w:u w:val="none"/>
                <w:lang w:val="en-US" w:eastAsia="zh-CN" w:bidi="ar-SA"/>
              </w:rPr>
              <w:t>县级以上人民政府农业农村主管部门应当建立健全禁止露天焚烧秸秆监管机制，利用遥感监测等技术手段进行监督抽测。</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eastAsia="仿宋" w:cs="仿宋" w:hint="eastAsia"/>
                <w:b/>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b/>
                <w:bCs/>
                <w:color w:val="auto"/>
                <w:sz w:val="28"/>
                <w:szCs w:val="28"/>
                <w:u w:val="none"/>
              </w:rPr>
            </w:pPr>
            <w:r>
              <w:rPr>
                <w:rFonts w:ascii="仿宋" w:eastAsia="仿宋" w:cs="仿宋" w:hint="eastAsia"/>
                <w:b/>
                <w:bCs/>
                <w:color w:val="auto"/>
                <w:sz w:val="28"/>
                <w:szCs w:val="28"/>
                <w:u w:val="none"/>
                <w:lang w:eastAsia="zh-CN"/>
              </w:rPr>
              <w:t>《</w:t>
            </w:r>
            <w:r>
              <w:rPr>
                <w:rFonts w:ascii="仿宋" w:eastAsia="仿宋" w:cs="仿宋" w:hint="eastAsia"/>
                <w:b/>
                <w:bCs/>
                <w:color w:val="auto"/>
                <w:sz w:val="28"/>
                <w:szCs w:val="28"/>
                <w:u w:val="none"/>
              </w:rPr>
              <w:t>湖南省秸秆禁烧区及限烧区禁烧时段划定严控大气污染的指导意见</w:t>
            </w:r>
            <w:r>
              <w:rPr>
                <w:rFonts w:ascii="仿宋" w:eastAsia="仿宋" w:cs="仿宋" w:hint="eastAsia"/>
                <w:b/>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2、下列区域划入秸秆禁烧区:</w:t>
            </w: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(1)市州所在城市建成区及边缘 10 公里范围内;县市区所在城镇开发边界内及边缘 3 公里范围内,根据城市环境空气质量和实际情况可适当扩大范围。</w:t>
            </w: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(2)高速公路、铁路沿线两侧 2 公里范围内;国道、省道公路干线、县与县交界区域两侧 1 公里范围内;机场边缘外延不少于 10 公里范围内,主导风向及主航线方向可适当扩大范围。</w:t>
            </w: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(3)各级自然保护区、公园、文物保护单位、油库、粮库、高压输电线路、通讯设施、林地、危险化学品生产储存设施设备、风力发电装置及有关设备所在区域及其边缘外延 1 公里范围内。</w:t>
            </w:r>
          </w:p>
          <w:p>
            <w:pPr>
              <w:keepNext w:val="0"/>
              <w:keepLines w:val="0"/>
              <w:pageBreakBefore w:val="0"/>
              <w:widowControl w:val="0"/>
              <w:kinsoku/>
              <w:wordWrap/>
              <w:overflowPunct/>
              <w:topLinePunct w:val="0"/>
              <w:autoSpaceDE/>
              <w:autoSpaceDN/>
              <w:bidi w:val="0"/>
              <w:adjustRightInd/>
              <w:snapToGrid w:val="0"/>
              <w:spacing w:line="400" w:lineRule="exact"/>
              <w:ind w:left="0"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(4)法律、法规以及规范性文件规定的其他禁止露天焚烧秸秆的区域。</w:t>
            </w:r>
          </w:p>
        </w:tc>
      </w:tr>
      <w:tr>
        <w:trPr>
          <w:trHeight w:val="1774"/>
        </w:trPr>
        <w:tc>
          <w:tcPr>
            <w:tcW w:w="4884" w:type="dxa"/>
            <w:noWrap/>
            <w:vAlign w:val="center"/>
          </w:tcPr>
          <w:p>
            <w:pPr>
              <w:keepNext w:val="0"/>
              <w:keepLines w:val="0"/>
              <w:pageBreakBefore w:val="0"/>
              <w:widowControl w:val="0"/>
              <w:kinsoku/>
              <w:wordWrap/>
              <w:overflowPunct/>
              <w:topLinePunct w:val="0"/>
              <w:autoSpaceDE/>
              <w:autoSpaceDN/>
              <w:bidi w:val="0"/>
              <w:adjustRightInd/>
              <w:spacing w:line="400" w:lineRule="exact"/>
              <w:ind w:left="0" w:firstLineChars="100" w:firstLine="280"/>
              <w:textAlignment w:val="auto"/>
              <w:rPr>
                <w:rFonts w:ascii="仿宋" w:eastAsia="仿宋" w:cs="仿宋" w:hint="eastAsia"/>
                <w:color w:val="auto"/>
                <w:sz w:val="28"/>
                <w:szCs w:val="28"/>
                <w:u w:val="none"/>
                <w:lang w:val="en-US" w:eastAsia="zh-CN"/>
              </w:rPr>
            </w:pPr>
            <w:r>
              <w:rPr>
                <w:rFonts w:ascii="仿宋" w:eastAsia="仿宋" w:cs="仿宋" w:hint="eastAsia"/>
                <w:color w:val="auto"/>
                <w:sz w:val="28"/>
                <w:szCs w:val="28"/>
                <w:u w:val="none"/>
                <w:lang w:val="en-US" w:eastAsia="zh-CN"/>
              </w:rPr>
              <w:t>（二）</w:t>
            </w:r>
            <w:r>
              <w:rPr>
                <w:rFonts w:ascii="仿宋" w:eastAsia="仿宋" w:cs="仿宋" w:hint="eastAsia"/>
                <w:color w:val="auto"/>
                <w:sz w:val="28"/>
                <w:szCs w:val="28"/>
                <w:u w:val="none"/>
                <w:lang w:eastAsia="zh-CN"/>
              </w:rPr>
              <w:t>禁</w:t>
            </w:r>
            <w:r>
              <w:rPr>
                <w:rFonts w:ascii="仿宋" w:eastAsia="仿宋" w:cs="仿宋" w:hint="eastAsia"/>
                <w:color w:val="auto"/>
                <w:sz w:val="28"/>
                <w:szCs w:val="28"/>
                <w:u w:val="none"/>
                <w:lang w:val="en-US" w:eastAsia="zh-CN"/>
              </w:rPr>
              <w:t>烧区要求</w:t>
            </w:r>
          </w:p>
          <w:p>
            <w:pPr>
              <w:keepNext w:val="0"/>
              <w:keepLines w:val="0"/>
              <w:pageBreakBefore w:val="0"/>
              <w:widowControl w:val="0"/>
              <w:kinsoku/>
              <w:wordWrap/>
              <w:overflowPunct/>
              <w:topLinePunct w:val="0"/>
              <w:autoSpaceDE/>
              <w:autoSpaceDN/>
              <w:bidi w:val="0"/>
              <w:adjustRightInd/>
              <w:spacing w:line="400" w:lineRule="exact"/>
              <w:ind w:left="0" w:firstLineChars="100" w:firstLine="280"/>
              <w:textAlignment w:val="auto"/>
              <w:rPr>
                <w:rFonts w:ascii="仿宋" w:eastAsia="仿宋" w:cs="仿宋" w:hint="eastAsia"/>
                <w:color w:val="auto"/>
                <w:sz w:val="28"/>
                <w:szCs w:val="28"/>
                <w:u w:val="none"/>
                <w:lang w:val="en-US" w:eastAsia="zh-CN"/>
              </w:rPr>
            </w:pPr>
            <w:r>
              <w:rPr>
                <w:rFonts w:ascii="仿宋" w:eastAsia="仿宋" w:cs="仿宋" w:hint="eastAsia"/>
                <w:color w:val="auto"/>
                <w:sz w:val="28"/>
                <w:szCs w:val="28"/>
                <w:u w:val="none"/>
                <w:lang w:val="en-US" w:eastAsia="zh-CN"/>
              </w:rPr>
              <w:t>在禁烧区域内、全年全时段禁止任何单位和个人露天焚烧秸秆、荒草、枯枝、落叶等产生烟尘污染的物质。</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w:t>
            </w:r>
            <w:r>
              <w:rPr>
                <w:rFonts w:ascii="仿宋" w:eastAsia="仿宋" w:cs="仿宋" w:hint="eastAsia"/>
                <w:b/>
                <w:bCs/>
                <w:color w:val="auto"/>
                <w:sz w:val="28"/>
                <w:szCs w:val="28"/>
                <w:u w:val="none"/>
              </w:rPr>
              <w:t>湖南省秸秆禁烧区及限烧区禁烧时段划定严控大气污染的指导意见</w:t>
            </w:r>
            <w:r>
              <w:rPr>
                <w:rFonts w:ascii="仿宋" w:eastAsia="仿宋" w:cs="仿宋" w:hint="eastAsia"/>
                <w:b/>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一、划定范围</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(一)禁烧区</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rPr>
              <w:t>1、禁烧区内实行强制性禁烧政策和管理措施，除经检疫确需焚烧处理病虫害外，其他任何时间、任何气象条件及空气质量状况下，均不允许秸秆露天焚烧。秸秆禁烧区要设立明显警示标志，标明“秸秆禁烧区”字样</w:t>
            </w:r>
            <w:r>
              <w:rPr>
                <w:rFonts w:ascii="仿宋" w:eastAsia="仿宋" w:cs="仿宋" w:hint="eastAsia"/>
                <w:color w:val="auto"/>
                <w:sz w:val="28"/>
                <w:szCs w:val="28"/>
                <w:u w:val="none"/>
                <w:lang w:eastAsia="zh-CN"/>
              </w:rPr>
              <w:t>。</w:t>
            </w:r>
          </w:p>
        </w:tc>
      </w:tr>
      <w:tr>
        <w:trPr>
          <w:trHeight w:val="2106"/>
        </w:trPr>
        <w:tc>
          <w:tcPr>
            <w:tcW w:w="4884" w:type="dxa"/>
            <w:noWrap/>
            <w:vAlign w:val="center"/>
          </w:tcPr>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三、限烧区域范围及要求</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val="en-US" w:eastAsia="zh-CN"/>
              </w:rPr>
              <w:t>1.未列入禁烧区的其他区域</w:t>
            </w:r>
            <w:r>
              <w:rPr>
                <w:rFonts w:ascii="仿宋" w:eastAsia="仿宋" w:cs="仿宋" w:hint="eastAsia"/>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val="en-US" w:eastAsia="zh-CN"/>
              </w:rPr>
              <w:t>2.</w:t>
            </w:r>
            <w:r>
              <w:rPr>
                <w:rFonts w:ascii="仿宋" w:eastAsia="仿宋" w:cs="仿宋" w:hint="eastAsia"/>
                <w:color w:val="auto"/>
                <w:sz w:val="28"/>
                <w:szCs w:val="28"/>
                <w:u w:val="none"/>
                <w:lang w:eastAsia="zh-CN"/>
              </w:rPr>
              <w:t>限烧区内，出现下列情形之一的，应当列入禁烧时段：</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1）</w:t>
            </w:r>
            <w:r>
              <w:rPr>
                <w:rFonts w:ascii="仿宋" w:eastAsia="仿宋" w:cs="仿宋" w:hint="eastAsia"/>
                <w:color w:val="auto"/>
                <w:sz w:val="28"/>
                <w:szCs w:val="28"/>
                <w:u w:val="none"/>
                <w:lang w:eastAsia="zh-CN"/>
              </w:rPr>
              <w:t>风速小、静稳、逆温等不利大气污染扩散的天气；</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2）</w:t>
            </w:r>
            <w:r>
              <w:rPr>
                <w:rFonts w:ascii="仿宋" w:eastAsia="仿宋" w:cs="仿宋" w:hint="eastAsia"/>
                <w:color w:val="auto"/>
                <w:sz w:val="28"/>
                <w:szCs w:val="28"/>
                <w:u w:val="none"/>
                <w:lang w:eastAsia="zh-CN"/>
              </w:rPr>
              <w:t>下雨天或者秸秆潮湿不能充分燃烧的天气；</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3）</w:t>
            </w:r>
            <w:r>
              <w:rPr>
                <w:rFonts w:ascii="仿宋" w:eastAsia="仿宋" w:cs="仿宋" w:hint="eastAsia"/>
                <w:color w:val="auto"/>
                <w:sz w:val="28"/>
                <w:szCs w:val="28"/>
                <w:u w:val="none"/>
                <w:lang w:eastAsia="zh-CN"/>
              </w:rPr>
              <w:t>当日19:00至次日7:00的夜间时段；</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4）</w:t>
            </w:r>
            <w:r>
              <w:rPr>
                <w:rFonts w:ascii="仿宋" w:eastAsia="仿宋" w:cs="仿宋" w:hint="eastAsia"/>
                <w:color w:val="auto"/>
                <w:sz w:val="28"/>
                <w:szCs w:val="28"/>
                <w:u w:val="none"/>
                <w:lang w:eastAsia="zh-CN"/>
              </w:rPr>
              <w:t>环境空气质量预报达到轻度及以上的污染天；</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5）</w:t>
            </w:r>
            <w:r>
              <w:rPr>
                <w:rFonts w:ascii="仿宋" w:eastAsia="仿宋" w:cs="仿宋" w:hint="eastAsia"/>
                <w:color w:val="auto"/>
                <w:sz w:val="28"/>
                <w:szCs w:val="28"/>
                <w:u w:val="none"/>
                <w:lang w:eastAsia="zh-CN"/>
              </w:rPr>
              <w:t>环境空气质量当日实际监测连续出现三小时中度及以上的；</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6）</w:t>
            </w:r>
            <w:r>
              <w:rPr>
                <w:rFonts w:ascii="仿宋" w:eastAsia="仿宋" w:cs="仿宋" w:hint="eastAsia"/>
                <w:color w:val="auto"/>
                <w:sz w:val="28"/>
                <w:szCs w:val="28"/>
                <w:u w:val="none"/>
                <w:lang w:eastAsia="zh-CN"/>
              </w:rPr>
              <w:t>县人民政府已经启动轻度及以上大气污染应急管控措施的；</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7）</w:t>
            </w:r>
            <w:r>
              <w:rPr>
                <w:rFonts w:ascii="仿宋" w:eastAsia="仿宋" w:cs="仿宋" w:hint="eastAsia"/>
                <w:color w:val="auto"/>
                <w:sz w:val="28"/>
                <w:szCs w:val="28"/>
                <w:u w:val="none"/>
                <w:lang w:eastAsia="zh-CN"/>
              </w:rPr>
              <w:t>发布三级及以上等级森林火险预警;</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eastAsia="zh-CN"/>
              </w:rPr>
            </w:pPr>
            <w:r>
              <w:rPr>
                <w:rFonts w:ascii="仿宋" w:eastAsia="仿宋" w:cs="仿宋" w:hint="eastAsia"/>
                <w:color w:val="auto"/>
                <w:sz w:val="28"/>
                <w:szCs w:val="28"/>
                <w:u w:val="none"/>
                <w:lang w:eastAsia="zh-CN"/>
              </w:rPr>
              <w:t>（</w:t>
            </w:r>
            <w:r>
              <w:rPr>
                <w:rFonts w:ascii="仿宋" w:eastAsia="仿宋" w:cs="仿宋" w:hint="eastAsia"/>
                <w:color w:val="auto"/>
                <w:sz w:val="28"/>
                <w:szCs w:val="28"/>
                <w:u w:val="none"/>
                <w:lang w:val="en-US" w:eastAsia="zh-CN"/>
              </w:rPr>
              <w:t>8）</w:t>
            </w:r>
            <w:r>
              <w:rPr>
                <w:rFonts w:ascii="仿宋" w:eastAsia="仿宋" w:cs="仿宋" w:hint="eastAsia"/>
                <w:color w:val="auto"/>
                <w:sz w:val="28"/>
                <w:szCs w:val="28"/>
                <w:u w:val="none"/>
                <w:lang w:eastAsia="zh-CN"/>
              </w:rPr>
              <w:t>法律、法规以及规范性文件规定的其他禁止露天焚烧秸秆的时段。</w:t>
            </w:r>
          </w:p>
          <w:p>
            <w:pPr>
              <w:keepNext w:val="0"/>
              <w:keepLines w:val="0"/>
              <w:pageBreakBefore w:val="0"/>
              <w:widowControl w:val="0"/>
              <w:kinsoku/>
              <w:wordWrap/>
              <w:overflowPunct/>
              <w:topLinePunct w:val="0"/>
              <w:autoSpaceDE/>
              <w:autoSpaceDN/>
              <w:bidi w:val="0"/>
              <w:adjustRightInd/>
              <w:spacing w:line="400" w:lineRule="exact"/>
              <w:ind w:left="0" w:firstLineChars="100" w:firstLine="280"/>
              <w:textAlignment w:val="auto"/>
              <w:rPr>
                <w:rFonts w:ascii="仿宋" w:eastAsia="仿宋" w:cs="仿宋" w:hint="eastAsia"/>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w:t>
            </w:r>
            <w:r>
              <w:rPr>
                <w:rFonts w:ascii="仿宋" w:eastAsia="仿宋" w:cs="仿宋" w:hint="eastAsia"/>
                <w:b/>
                <w:bCs/>
                <w:color w:val="auto"/>
                <w:sz w:val="28"/>
                <w:szCs w:val="28"/>
                <w:u w:val="none"/>
              </w:rPr>
              <w:t>湖南省秸秆禁烧区及限烧区禁烧时段划定严控大气污染的指导意见</w:t>
            </w:r>
            <w:r>
              <w:rPr>
                <w:rFonts w:ascii="仿宋" w:eastAsia="仿宋" w:cs="仿宋" w:hint="eastAsia"/>
                <w:b/>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(二)限烧区禁烧时段</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1、秸秆禁烧区以外的其他区域属于限烧区。</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2、限烧区内，出现下列情形之一的，列入秸秆禁烧时段:</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(1)风速小、静稳、逆温等不利于大气污染扩散的天气;</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(2)下雨天或者秸秆潮湿不能充分燃烧的天气;</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(3)当日19:00至次日7:00 的夜间时段;</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(4)当地环境空气质量预报将出现以细颗粒物(PM)为首要污染物的轻度及以上污染天;</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(5)当日出现以PM,为首要污染物的中度及以上污染连续达三小时;</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(6)当地已经启动轻度及以上大气污染应对管控措施(仅因臭氧污染启动的除外);</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(7)发布三级及以上等级森林火险预警;</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rPr>
            </w:pPr>
            <w:r>
              <w:rPr>
                <w:rFonts w:ascii="仿宋" w:eastAsia="仿宋" w:cs="仿宋" w:hint="eastAsia"/>
                <w:color w:val="auto"/>
                <w:sz w:val="28"/>
                <w:szCs w:val="28"/>
                <w:u w:val="none"/>
              </w:rPr>
              <w:t>(8)法律、法规以及规范性文件规定的其他禁止露天焚烧秸秆的时段。</w:t>
            </w:r>
          </w:p>
        </w:tc>
      </w:tr>
      <w:tr>
        <w:trPr>
          <w:trHeight w:val="3543"/>
        </w:trPr>
        <w:tc>
          <w:tcPr>
            <w:tcW w:w="4884" w:type="dxa"/>
            <w:noWrap/>
            <w:vAlign w:val="center"/>
          </w:tcPr>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 xml:space="preserve">四、职责分工 </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val="0"/>
              <w:snapToGrid w:val="0"/>
              <w:spacing w:before="0" w:beforeAutospacing="0" w:after="0" w:afterAutospacing="0" w:line="400" w:lineRule="exact"/>
              <w:ind w:left="0" w:right="0" w:firstLineChars="200" w:firstLine="560"/>
              <w:jc w:val="both"/>
              <w:textAlignment w:val="auto"/>
              <w:rPr>
                <w:rFonts w:ascii="仿宋" w:eastAsia="仿宋" w:cs="仿宋" w:hint="eastAsia"/>
                <w:color w:val="auto"/>
                <w:sz w:val="28"/>
                <w:szCs w:val="28"/>
                <w:u w:val="none"/>
              </w:rPr>
            </w:pPr>
            <w:r>
              <w:rPr>
                <w:rFonts w:ascii="仿宋" w:eastAsia="仿宋" w:cs="仿宋" w:hint="eastAsia"/>
                <w:color w:val="auto"/>
                <w:kern w:val="2"/>
                <w:sz w:val="28"/>
                <w:szCs w:val="28"/>
                <w:u w:val="none"/>
                <w:lang w:val="en-US" w:eastAsia="zh-CN" w:bidi="ar-SA"/>
              </w:rPr>
              <w:t>各乡镇人民政府负责本区域内禁止露天焚烧秸秆的宣传、巡查、劝阻工作。生态环境部门负责禁止露天焚烧秸秆的指导和监督管理工作。农业农村部门负责秸秆综合利用的指导和监督管理工作。城市管理和综合执法部门负责县城区内禁止露天焚烧秸秆的宣传、巡查、劝阻工作。</w:t>
            </w: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lang w:val="en-US" w:eastAsia="zh-CN"/>
              </w:rPr>
            </w:pPr>
          </w:p>
        </w:tc>
      </w:tr>
      <w:tr>
        <w:trPr>
          <w:trHeight w:val="959"/>
        </w:trPr>
        <w:tc>
          <w:tcPr>
            <w:tcW w:w="4884" w:type="dxa"/>
            <w:noWrap/>
            <w:vAlign w:val="center"/>
          </w:tcPr>
          <w:p>
            <w:pPr>
              <w:keepNext w:val="0"/>
              <w:keepLines w:val="0"/>
              <w:pageBreakBefore w:val="0"/>
              <w:widowControl w:val="0"/>
              <w:kinsoku/>
              <w:overflowPunct/>
              <w:topLinePunct w:val="0"/>
              <w:autoSpaceDE/>
              <w:autoSpaceDN/>
              <w:bidi w:val="0"/>
              <w:adjustRightInd w:val="0"/>
              <w:snapToGrid w:val="0"/>
              <w:spacing w:line="560" w:lineRule="exact"/>
              <w:ind w:firstLineChars="200" w:firstLine="640"/>
              <w:rPr>
                <w:rFonts w:ascii="仿宋" w:eastAsia="仿宋" w:cs="仿宋" w:hint="eastAsia"/>
                <w:b/>
                <w:bCs/>
                <w:color w:val="auto"/>
                <w:sz w:val="32"/>
                <w:szCs w:val="32"/>
                <w:u w:val="none"/>
                <w:lang w:eastAsia="zh-CN"/>
              </w:rPr>
            </w:pPr>
            <w:r>
              <w:rPr>
                <w:rFonts w:ascii="仿宋" w:eastAsia="仿宋" w:cs="仿宋" w:hint="eastAsia"/>
                <w:b/>
                <w:bCs/>
                <w:color w:val="auto"/>
                <w:sz w:val="32"/>
                <w:szCs w:val="32"/>
                <w:u w:val="none"/>
                <w:lang w:eastAsia="zh-CN"/>
              </w:rPr>
              <w:t>五、其他</w:t>
            </w:r>
          </w:p>
          <w:p>
            <w:pPr>
              <w:keepNext w:val="0"/>
              <w:keepLines w:val="0"/>
              <w:pageBreakBefore w:val="0"/>
              <w:widowControl w:val="0"/>
              <w:kinsoku/>
              <w:wordWrap/>
              <w:overflowPunct/>
              <w:topLinePunct w:val="0"/>
              <w:autoSpaceDE/>
              <w:autoSpaceDN/>
              <w:bidi w:val="0"/>
              <w:adjustRightInd/>
              <w:spacing w:line="400" w:lineRule="exact"/>
              <w:ind w:left="0" w:firstLineChars="200" w:firstLine="560"/>
              <w:textAlignment w:val="auto"/>
              <w:rPr>
                <w:rFonts w:ascii="仿宋" w:eastAsia="仿宋" w:cs="仿宋" w:hint="eastAsia"/>
                <w:color w:val="auto"/>
                <w:sz w:val="28"/>
                <w:szCs w:val="28"/>
                <w:u w:val="none"/>
                <w:lang w:val="en-US" w:eastAsia="zh-CN"/>
              </w:rPr>
            </w:pPr>
            <w:r>
              <w:rPr>
                <w:rFonts w:ascii="仿宋" w:eastAsia="仿宋" w:cs="仿宋" w:hint="eastAsia"/>
                <w:color w:val="auto"/>
                <w:sz w:val="28"/>
                <w:szCs w:val="28"/>
                <w:u w:val="none"/>
                <w:lang w:val="en-US" w:eastAsia="zh-CN"/>
              </w:rPr>
              <w:t>本通告自公布之日起施行。有效期5年</w:t>
            </w:r>
          </w:p>
        </w:tc>
        <w:tc>
          <w:tcPr>
            <w:tcW w:w="476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jc w:val="left"/>
              <w:textAlignment w:val="auto"/>
              <w:rPr>
                <w:rFonts w:ascii="仿宋" w:eastAsia="仿宋" w:cs="仿宋" w:hint="eastAsia"/>
                <w:b/>
                <w:bCs/>
                <w:color w:val="auto"/>
                <w:sz w:val="28"/>
                <w:szCs w:val="28"/>
                <w:u w:val="none"/>
                <w:lang w:eastAsia="zh-CN"/>
              </w:rPr>
            </w:pPr>
            <w:r>
              <w:rPr>
                <w:rFonts w:ascii="仿宋" w:eastAsia="仿宋" w:cs="仿宋" w:hint="eastAsia"/>
                <w:b/>
                <w:bCs/>
                <w:color w:val="auto"/>
                <w:sz w:val="28"/>
                <w:szCs w:val="28"/>
                <w:u w:val="none"/>
                <w:lang w:eastAsia="zh-CN"/>
              </w:rPr>
              <w:t>《湖南省规范性文件管理办法》</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jc w:val="left"/>
              <w:textAlignment w:val="auto"/>
              <w:rPr>
                <w:rFonts w:ascii="仿宋" w:eastAsia="仿宋" w:cs="仿宋" w:hint="eastAsia"/>
                <w:color w:val="auto"/>
                <w:sz w:val="28"/>
                <w:szCs w:val="28"/>
                <w:u w:val="none"/>
                <w:lang w:val="en-US" w:eastAsia="zh-CN"/>
              </w:rPr>
            </w:pPr>
            <w:r>
              <w:rPr>
                <w:rFonts w:ascii="仿宋" w:eastAsia="仿宋" w:cs="仿宋" w:hint="eastAsia"/>
                <w:b/>
                <w:bCs/>
                <w:color w:val="auto"/>
                <w:sz w:val="28"/>
                <w:szCs w:val="28"/>
                <w:u w:val="none"/>
                <w:lang w:val="en-US" w:eastAsia="zh-CN"/>
              </w:rPr>
              <w:t>第二十条</w:t>
            </w:r>
            <w:r>
              <w:rPr>
                <w:rFonts w:ascii="仿宋" w:eastAsia="仿宋" w:cs="仿宋" w:hint="eastAsia"/>
                <w:color w:val="auto"/>
                <w:sz w:val="28"/>
                <w:szCs w:val="28"/>
                <w:u w:val="none"/>
                <w:lang w:val="en-US" w:eastAsia="zh-CN"/>
              </w:rPr>
              <w:t xml:space="preserve"> 规范性文件应当于统一公布之日起30日以后施行。但是，公布后不立即施行将有碍法律、法规、规章、上位规范性文件执行，或者不利于保障国家安全、公共利益的，应当明确自公布之日起施行。</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560"/>
              <w:textAlignment w:val="auto"/>
              <w:rPr>
                <w:rFonts w:ascii="仿宋" w:eastAsia="仿宋" w:cs="仿宋" w:hint="eastAsia"/>
                <w:color w:val="auto"/>
                <w:sz w:val="28"/>
                <w:szCs w:val="28"/>
                <w:u w:val="none"/>
                <w:lang w:eastAsia="zh-CN"/>
              </w:rPr>
            </w:pP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ascii="仿宋" w:eastAsia="仿宋" w:cs="仿宋" w:hint="eastAsia"/>
          <w:sz w:val="28"/>
          <w:szCs w:val="28"/>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00000000000000000"/>
    <w:charset w:val="86"/>
    <w:family w:val="auto"/>
    <w:pitch w:val="variable"/>
    <w:sig w:usb0="00000000" w:usb1="00000000" w:usb2="00000012" w:usb3="00000000" w:csb0="00040001" w:csb1="00000000"/>
  </w:font>
  <w:font w:name="仿宋">
    <w:panose1 w:val="02010609060101010101"/>
    <w:charset w:val="86"/>
    <w:family w:val="modern"/>
    <w:pitch w:val="variable"/>
    <w:sig w:usb0="800002BF" w:usb1="38CF7CFA" w:usb2="00000016" w:usb3="00000000" w:csb0="00040001" w:csb1="00000000"/>
  </w:font>
  <w:font w:name="方正黑体_GBK">
    <w:altName w:val="微软雅黑"/>
    <w:panose1 w:val="02000000000000000000"/>
    <w:charset w:val="86"/>
    <w:family w:val="auto"/>
    <w:pitch w:val="variable"/>
    <w:sig w:usb0="00000000" w:usb1="00000000" w:usb2="00000000" w:usb3="00000000" w:csb0="00040000" w:csb1="00000000"/>
  </w:font>
  <w:font w:name="Times New Roman">
    <w:altName w:val="永中宋体"/>
    <w:panose1 w:val="02020603050405020304"/>
    <w:charset w:val="86"/>
    <w:family w:val="auto"/>
    <w:pitch w:val="variable"/>
    <w:sig w:usb0="E0002AFF" w:usb1="C0007841"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note text"/>
    <w:basedOn w:val="0"/>
    <w:pPr>
      <w:snapToGrid w:val="0"/>
      <w:jc w:val="left"/>
    </w:pPr>
    <w:rPr>
      <w:sz w:val="18"/>
      <w:szCs w:val="18"/>
    </w:rPr>
  </w:style>
  <w:style w:type="paragraph" w:styleId="16">
    <w:name w:val="Body Text"/>
    <w:basedOn w:val="0"/>
    <w:pPr>
      <w:spacing w:after="120" w:afterAutospacing="0"/>
    </w:pPr>
  </w:style>
  <w:style w:type="paragraph" w:styleId="17">
    <w:name w:val="Normal (Web)"/>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4</Pages>
  <Words>2332</Words>
  <Characters>2389</Characters>
  <Lines>163</Lines>
  <Paragraphs>62</Paragraphs>
  <CharactersWithSpaces>2410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chenxi</cp:lastModifiedBy>
  <cp:revision>0</cp:revision>
  <dcterms:created xsi:type="dcterms:W3CDTF">2024-12-30T00:25:00Z</dcterms:created>
  <dcterms:modified xsi:type="dcterms:W3CDTF">2024-12-31T08:50:04Z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KSOTemplateDocerSaveRecord">
    <vt:lpwstr>eyJoZGlkIjoiM2VjODI2OTA1N2Y1NmQ2ZjliMTZlZGYyOWM5ZTEzN2QiLCJ1c2VySWQiOiI5MjIyODQwMDYifQ==</vt:lpwstr>
  </property>
  <property fmtid="{D5CDD505-2E9C-101B-9397-08002B2CF9AE}" pid="4" name="ICV">
    <vt:lpwstr>27B4784C14A64572AFADF61BE54AC201_12</vt:lpwstr>
  </property>
</Properties>
</file>