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ascii="Times New Roman" w:hAnsi="Times New Roman" w:eastAsia="黑体" w:cs="Times New Roman"/>
          <w:spacing w:val="-4"/>
          <w:sz w:val="31"/>
          <w:szCs w:val="31"/>
        </w:rPr>
      </w:pPr>
      <w:r>
        <w:rPr>
          <w:rFonts w:hint="eastAsia" w:ascii="Times New Roman" w:hAnsi="Times New Roman" w:eastAsia="黑体" w:cs="Times New Roman"/>
          <w:spacing w:val="-4"/>
          <w:sz w:val="31"/>
          <w:szCs w:val="31"/>
        </w:rPr>
        <w:t>附件1</w:t>
      </w:r>
    </w:p>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参与养老服务消费补贴项目机构</w:t>
      </w:r>
      <w:r>
        <w:rPr>
          <w:rFonts w:ascii="方正小标宋简体" w:hAnsi="方正小标宋简体" w:eastAsia="方正小标宋简体" w:cs="方正小标宋简体"/>
          <w:sz w:val="44"/>
          <w:szCs w:val="44"/>
        </w:rPr>
        <w:t>（企业）</w:t>
      </w:r>
      <w:r>
        <w:rPr>
          <w:rFonts w:hint="eastAsia" w:ascii="方正小标宋简体" w:hAnsi="方正小标宋简体" w:eastAsia="方正小标宋简体" w:cs="方正小标宋简体"/>
          <w:sz w:val="44"/>
          <w:szCs w:val="44"/>
        </w:rPr>
        <w:t>的要求</w:t>
      </w:r>
    </w:p>
    <w:bookmarkEnd w:id="0"/>
    <w:p>
      <w:pPr>
        <w:pStyle w:val="2"/>
        <w:spacing w:before="0" w:beforeAutospacing="0" w:after="0" w:afterAutospacing="0" w:line="560" w:lineRule="exact"/>
        <w:ind w:firstLine="643" w:firstLineChars="200"/>
        <w:jc w:val="both"/>
        <w:rPr>
          <w:rFonts w:ascii="Times New Roman" w:hAnsi="Times New Roman" w:eastAsia="楷体_GB2312"/>
          <w:b/>
          <w:sz w:val="32"/>
          <w:szCs w:val="32"/>
          <w:lang w:bidi="ar"/>
        </w:rPr>
      </w:pPr>
    </w:p>
    <w:p>
      <w:pPr>
        <w:pStyle w:val="2"/>
        <w:spacing w:before="0" w:beforeAutospacing="0" w:after="0" w:afterAutospacing="0" w:line="560" w:lineRule="exact"/>
        <w:ind w:firstLine="643" w:firstLineChars="200"/>
        <w:jc w:val="both"/>
        <w:rPr>
          <w:rFonts w:ascii="Times New Roman" w:hAnsi="Times New Roman" w:eastAsia="楷体_GB2312"/>
          <w:b/>
          <w:color w:val="0000FF"/>
          <w:sz w:val="32"/>
          <w:szCs w:val="32"/>
          <w:lang w:bidi="ar"/>
        </w:rPr>
      </w:pPr>
      <w:r>
        <w:rPr>
          <w:rFonts w:ascii="Times New Roman" w:hAnsi="Times New Roman" w:eastAsia="楷体_GB2312"/>
          <w:b/>
          <w:sz w:val="32"/>
          <w:szCs w:val="32"/>
          <w:lang w:bidi="ar"/>
        </w:rPr>
        <w:t>一、养老机构</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1.应依法办理登记并在民政部门备案，符合《养老机构岗位设置及人员配备规范》（MZ/T187—2021）要求，具有收住中度以上失能老年人的服务能力；</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2.承诺严格执行法律法规及《养老机构服务安全基本规范》（GB38600—2019）等强制性标准要求；</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参与提供服务的养老机构</w:t>
      </w:r>
      <w:r>
        <w:rPr>
          <w:rFonts w:ascii="Times New Roman" w:hAnsi="Times New Roman" w:eastAsia="仿宋_GB2312"/>
          <w:sz w:val="32"/>
          <w:szCs w:val="32"/>
          <w:lang w:bidi="ar"/>
        </w:rPr>
        <w:t>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县级民政部门审批通过后，取得消费补贴资格；</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pPr>
        <w:pStyle w:val="2"/>
        <w:spacing w:before="0" w:beforeAutospacing="0" w:after="0" w:afterAutospacing="0" w:line="560" w:lineRule="exact"/>
        <w:ind w:firstLine="643" w:firstLineChars="200"/>
        <w:jc w:val="both"/>
        <w:rPr>
          <w:rFonts w:ascii="Times New Roman" w:hAnsi="Times New Roman" w:eastAsia="仿宋_GB2312"/>
          <w:sz w:val="32"/>
          <w:szCs w:val="32"/>
          <w:lang w:bidi="ar"/>
        </w:rPr>
      </w:pPr>
      <w:r>
        <w:rPr>
          <w:rFonts w:ascii="Times New Roman" w:hAnsi="Times New Roman" w:eastAsia="楷体_GB2312"/>
          <w:b/>
          <w:sz w:val="32"/>
          <w:szCs w:val="32"/>
          <w:lang w:bidi="ar"/>
        </w:rPr>
        <w:t>二、社区养老服务机构（企业）</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1.应依法办理登记，经营范围或业务范围应包括养老服务，且在民政部门进行信息登记或备案；</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2.具有为中度以上失能老年人提供相应服务的能力，机构工作人员应持有相应国家职业技能等级证书；</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w:t>
      </w:r>
      <w:r>
        <w:rPr>
          <w:rFonts w:ascii="Times New Roman" w:hAnsi="Times New Roman" w:eastAsia="仿宋_GB2312"/>
          <w:sz w:val="32"/>
          <w:szCs w:val="32"/>
          <w:lang w:bidi="ar"/>
        </w:rPr>
        <w:t>社区养老服务</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（企业）应事先向民政部门申报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，经县级民政部门审批通过后，取得消费补贴资格；</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pPr>
        <w:pStyle w:val="2"/>
        <w:spacing w:before="0" w:beforeAutospacing="0" w:after="0" w:afterAutospacing="0" w:line="560" w:lineRule="exact"/>
        <w:ind w:firstLine="643" w:firstLineChars="200"/>
        <w:jc w:val="both"/>
        <w:rPr>
          <w:rFonts w:hint="eastAsia" w:ascii="仿宋_GB2312" w:hAnsi="仿宋_GB2312" w:eastAsia="仿宋_GB2312" w:cs="仿宋_GB2312"/>
          <w:b/>
          <w:color w:val="FF0000"/>
          <w:sz w:val="28"/>
          <w:szCs w:val="28"/>
          <w:lang w:bidi="ar"/>
        </w:rPr>
      </w:pPr>
      <w:r>
        <w:rPr>
          <w:rFonts w:ascii="Times New Roman" w:hAnsi="Times New Roman" w:eastAsia="楷体_GB2312"/>
          <w:b/>
          <w:sz w:val="32"/>
          <w:szCs w:val="32"/>
          <w:lang w:bidi="ar"/>
        </w:rPr>
        <w:t>二、第三方专业评估机构</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1.依法办理注册登记的企事业单位或社会组织，应符合《老年人能力评估规范》（GB/T42195—2022）关于评估主体的有关要求；</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至少配置5名专/兼职评估人员，评估人员应具有全日制高中或中专及以上学历，有5年以上从事医疗护理、健康管理、养老服务、老年社会工作等实务经历并具有相关专业背景，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sz w:val="32"/>
          <w:szCs w:val="32"/>
          <w:lang w:bidi="ar"/>
        </w:rPr>
        <w:t>；</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3.第三方专业评估机构不能参与提供由本项目补贴的养老服务，不得纳入电子消费券适用机构范围；</w:t>
      </w:r>
    </w:p>
    <w:p>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4.自愿参与、信誉良好，近一年内未被纳入失信联合惩戒对象名单，服务过程中未发生重大安全事故或服务对象群体投诉信访事件；</w:t>
      </w:r>
    </w:p>
    <w:p>
      <w:pPr>
        <w:spacing w:before="53" w:line="560" w:lineRule="exact"/>
        <w:ind w:firstLine="655"/>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5.应当保护被评估人员和评估人员的尊严、安全和个人隐私。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06DEA"/>
    <w:rsid w:val="6450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2026-01-16T09:44:00Z</dcterms:created>
  <dc:creator>I</dc:creator>
  <cp:lastModifiedBy>I</cp:lastModifiedBy>
  <dcterms:modified xsi:type="dcterms:W3CDTF">2026-01-16T09:45:15Z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