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附件5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spacing w:val="-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养老服务机构</w:t>
      </w:r>
      <w:r>
        <w:rPr>
          <w:rFonts w:ascii="方正小标宋_GBK" w:hAnsi="方正小标宋_GBK" w:eastAsia="方正小标宋_GBK" w:cs="方正小标宋_GBK"/>
          <w:spacing w:val="-8"/>
          <w:sz w:val="44"/>
          <w:szCs w:val="44"/>
        </w:rPr>
        <w:t>（企业）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诚信承诺书</w:t>
      </w:r>
      <w:bookmarkEnd w:id="0"/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我机构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仿宋" w:hAnsi="仿宋" w:eastAsia="仿宋" w:cs="仿宋"/>
          <w:spacing w:val="-8"/>
          <w:sz w:val="31"/>
          <w:szCs w:val="31"/>
          <w:u w:val="single"/>
        </w:rPr>
        <w:t xml:space="preserve">                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（统一社会信用代码：</w:t>
      </w:r>
      <w:r>
        <w:rPr>
          <w:rFonts w:hint="eastAsia" w:ascii="仿宋" w:hAnsi="仿宋" w:eastAsia="仿宋" w:cs="仿宋"/>
          <w:spacing w:val="-8"/>
          <w:sz w:val="31"/>
          <w:szCs w:val="31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）自愿参与向中度以上失能老年人发放养老服务消费补贴项目，作出如下承诺：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依法办理登记，经营范围或业务范围包括养老服务，且在民政部门备案，具有收住或服务中度及以上失能老年人的服务资质和能力。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严格执行法律法规及《养老机构服务安全基本规范》（</w:t>
      </w:r>
      <w:r>
        <w:rPr>
          <w:rFonts w:ascii="Times New Roman" w:hAnsi="Times New Roman" w:eastAsia="仿宋"/>
          <w:spacing w:val="-8"/>
          <w:sz w:val="32"/>
          <w:szCs w:val="32"/>
        </w:rPr>
        <w:t>GB38600—2019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服务前与服务对象签订服务协议，明确服务标准、流程、价格、权利及义务、风险处置、责任划分等内容。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项目实施期间所提供服务的价格不高于参与项目前三个月实际价格，老年人能够同时享受本机构优惠活动和消费补贴。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不与评估机构串通，伪造评估过程、评估结果，不与老年人及其家属串通、伪造服务过程。杜绝虚假服务、虚假评估、套取骗取补贴资金等情况。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发现所服务老年人因身体状况变化等因素不再符合补贴条件的，及时告知所在地区县民政部门停发消费券。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出资人、法定代表人、主要负责人不参与本机构实施的老年人能力评估业务。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ascii="Times New Roman" w:hAnsi="Times New Roman" w:eastAsia="仿宋"/>
          <w:spacing w:val="-8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在获得核销补贴资金后，自愿接受、主动配合审计和检查。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若出现违反上述承诺的行为，自愿退出此次活动，由此引起的纠纷由本机构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自行处理，由此产生的财政资金损失由本机构</w:t>
      </w:r>
      <w:r>
        <w:rPr>
          <w:rFonts w:ascii="方正仿宋_GBK" w:hAnsi="方正仿宋_GBK" w:eastAsia="方正仿宋_GBK" w:cs="方正仿宋_GBK"/>
          <w:spacing w:val="-8"/>
          <w:sz w:val="32"/>
          <w:szCs w:val="32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及本人全额承担，依法承担相应责任。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特此承诺。</w:t>
      </w:r>
    </w:p>
    <w:p>
      <w:pPr>
        <w:pStyle w:val="2"/>
        <w:widowControl/>
        <w:spacing w:before="0" w:beforeAutospacing="0" w:after="0" w:afterAutospacing="0" w:line="600" w:lineRule="exact"/>
        <w:ind w:firstLine="608" w:firstLineChars="200"/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ind w:firstLine="588" w:firstLineChars="200"/>
        <w:rPr>
          <w:rFonts w:hint="eastAsia" w:ascii="仿宋" w:hAnsi="仿宋" w:eastAsia="仿宋" w:cs="仿宋"/>
          <w:spacing w:val="-8"/>
          <w:sz w:val="31"/>
          <w:szCs w:val="31"/>
        </w:rPr>
      </w:pPr>
    </w:p>
    <w:p>
      <w:pPr>
        <w:widowControl/>
        <w:spacing w:line="600" w:lineRule="exact"/>
        <w:ind w:firstLine="608" w:firstLineChars="200"/>
        <w:jc w:val="both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机构</w:t>
      </w:r>
      <w:r>
        <w:rPr>
          <w:rFonts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（企业）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名称（盖章）：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法定代表人签章：</w:t>
      </w:r>
    </w:p>
    <w:p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3401" w:firstLineChars="1119"/>
        <w:jc w:val="left"/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5678" w:firstLineChars="1868"/>
        <w:jc w:val="left"/>
        <w:rPr>
          <w:spacing w:val="-8"/>
        </w:rPr>
      </w:pPr>
      <w:r>
        <w:rPr>
          <w:rFonts w:hint="eastAsia" w:ascii="方正仿宋_GBK" w:hAnsi="方正仿宋_GBK" w:eastAsia="方正仿宋_GBK" w:cs="方正仿宋_GBK"/>
          <w:spacing w:val="-8"/>
          <w:kern w:val="0"/>
          <w:sz w:val="32"/>
          <w:szCs w:val="32"/>
          <w:lang w:bidi="ar"/>
        </w:rPr>
        <w:t>年  月  日</w:t>
      </w:r>
    </w:p>
    <w:p>
      <w:pPr>
        <w:sectPr>
          <w:pgSz w:w="11906" w:h="16838"/>
          <w:pgMar w:top="1440" w:right="1644" w:bottom="1440" w:left="164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43772"/>
    <w:rsid w:val="3F1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2026-01-16T09:46:00Z</dcterms:created>
  <dc:creator>I</dc:creator>
  <cp:lastModifiedBy>I</cp:lastModifiedBy>
  <dcterms:modified xsi:type="dcterms:W3CDTF">2026-01-16T09:46:53Z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