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</w:p>
    <w:p w:rsidR="003E459F" w:rsidRDefault="003E459F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</w:p>
    <w:p w:rsidR="003E459F" w:rsidRDefault="003E459F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</w:p>
    <w:p w:rsidR="003E459F" w:rsidRDefault="003E459F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</w:p>
    <w:p w:rsidR="003E459F" w:rsidRDefault="00F77DDC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  <w:r>
        <w:rPr>
          <w:rFonts w:ascii="黑体" w:eastAsia="黑体" w:hAnsi="黑体" w:cs="黑体" w:hint="eastAsia"/>
          <w:bCs/>
          <w:sz w:val="44"/>
        </w:rPr>
        <w:t>202</w:t>
      </w:r>
      <w:r>
        <w:rPr>
          <w:rFonts w:ascii="黑体" w:eastAsia="黑体" w:hAnsi="黑体" w:cs="黑体" w:hint="eastAsia"/>
          <w:bCs/>
          <w:sz w:val="44"/>
        </w:rPr>
        <w:t>4</w:t>
      </w:r>
      <w:r>
        <w:rPr>
          <w:rFonts w:ascii="黑体" w:eastAsia="黑体" w:hAnsi="黑体" w:cs="黑体" w:hint="eastAsia"/>
          <w:bCs/>
          <w:sz w:val="44"/>
        </w:rPr>
        <w:t>年度</w:t>
      </w:r>
    </w:p>
    <w:p w:rsidR="003E459F" w:rsidRDefault="00F77DDC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  <w:r>
        <w:rPr>
          <w:rFonts w:ascii="黑体" w:eastAsia="黑体" w:hAnsi="黑体" w:cs="黑体" w:hint="eastAsia"/>
          <w:bCs/>
          <w:sz w:val="44"/>
        </w:rPr>
        <w:t>辰溪县</w:t>
      </w:r>
      <w:r>
        <w:rPr>
          <w:rFonts w:ascii="黑体" w:eastAsia="黑体" w:hAnsi="黑体" w:cs="黑体" w:hint="eastAsia"/>
          <w:bCs/>
          <w:sz w:val="44"/>
        </w:rPr>
        <w:t>信访局</w:t>
      </w:r>
      <w:r>
        <w:rPr>
          <w:rFonts w:ascii="黑体" w:eastAsia="黑体" w:hAnsi="黑体" w:cs="黑体" w:hint="eastAsia"/>
          <w:bCs/>
          <w:sz w:val="44"/>
        </w:rPr>
        <w:t>部门整体支出</w:t>
      </w:r>
    </w:p>
    <w:p w:rsidR="003E459F" w:rsidRDefault="00F77DDC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  <w:r>
        <w:rPr>
          <w:rFonts w:ascii="黑体" w:eastAsia="黑体" w:hAnsi="黑体" w:cs="黑体" w:hint="eastAsia"/>
          <w:bCs/>
          <w:sz w:val="44"/>
        </w:rPr>
        <w:t>绩效自评报告</w:t>
      </w: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3E459F">
      <w:pPr>
        <w:spacing w:line="600" w:lineRule="exact"/>
        <w:jc w:val="center"/>
        <w:rPr>
          <w:sz w:val="24"/>
        </w:rPr>
      </w:pPr>
    </w:p>
    <w:p w:rsidR="003E459F" w:rsidRDefault="00F77DDC">
      <w:pPr>
        <w:snapToGrid w:val="0"/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部门（单位）名称：</w:t>
      </w:r>
      <w:r>
        <w:rPr>
          <w:rFonts w:ascii="仿宋_GB2312" w:eastAsia="仿宋_GB2312" w:hAnsi="仿宋_GB2312" w:cs="仿宋_GB2312" w:hint="eastAsia"/>
          <w:sz w:val="32"/>
          <w:szCs w:val="32"/>
        </w:rPr>
        <w:t>辰溪县</w:t>
      </w:r>
      <w:r>
        <w:rPr>
          <w:rFonts w:ascii="仿宋_GB2312" w:eastAsia="仿宋_GB2312" w:hAnsi="仿宋_GB2312" w:cs="仿宋_GB2312" w:hint="eastAsia"/>
          <w:sz w:val="32"/>
          <w:szCs w:val="32"/>
        </w:rPr>
        <w:t>信访局</w:t>
      </w:r>
    </w:p>
    <w:p w:rsidR="003E459F" w:rsidRDefault="00F77DDC">
      <w:pPr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仿宋_GB2312" w:eastAsia="仿宋_GB2312" w:hAnsi="仿宋_GB2312" w:cs="仿宋_GB2312"/>
          <w:color w:val="000000"/>
          <w:sz w:val="44"/>
          <w:szCs w:val="44"/>
          <w:shd w:val="clear" w:color="auto" w:fill="FFFFFF"/>
        </w:rPr>
      </w:pPr>
    </w:p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lastRenderedPageBreak/>
        <w:t>部门整体支出绩效自评报告</w:t>
      </w:r>
    </w:p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一、部门、单位基本情况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（一）机构设置情况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设置办公室（办信室）、接访室、综合督查室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个内设机构及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个下设股级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网络投拆中心。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二）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人员编制情况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县信访局现有行政编制数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名、事业编制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名，截至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月底，在职在编人员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人，正式退休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(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三）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主要职能职责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县信访局是为县委、县人民政府主管信访工作的机构，是县人民政府组成工作部门，主要职责是：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负责处理人民群众给县委、县人民政府的来信（含网上信访），接待群众上访，为领导同志接待上访群众做好组织服务工作；综合分析信访信息，及时、准确地向县委、县人民政府领导同志反映来信来访中提出的重要建议、意见和问题，保证信访渠道畅通，负责县级领导包案处理信访问题的服务保障。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承办上级信访部门和县委、县人民政府领导同志交办、转办的信访事项，督促检查领导同志批示件的落实情况；向各乡镇和县直各部门交办信访事项，督促检查重要信访事项的处理和落实。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协调处理跨地区、跨部门的重大信访问题；协调处理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群众集体来县到市赴省进京上访和异常、突发性信访事件；督促、协调县直各部门和各乡镇的信访工作。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拟定全县有关信访工作的政策和法律、法规，并负责组织实施；负责全县信访系统的法治建设。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指导全县信访业务，总结推广信访工作经验，提出改进和加强信访工作的意见和建议。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了解并掌握全县信访工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作队伍建设情况，提出加强各乡镇和县直各部门信访队伍建设措施；组织全县信访干部的培训；指导各乡镇和县直各部门信访工作办公自动化和信息化建设。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负责信访工作的调研宣传和信息报送等工作。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责驻长劝返和驻京劝返的联络工作，承担县信访联席会议办公室的日常工作，督促落实县信访联席会议决定的事项。</w:t>
      </w:r>
    </w:p>
    <w:p w:rsidR="003E459F" w:rsidRDefault="00F77DDC">
      <w:pPr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承办县委、县人民政府及县委办、县政府办交办的其他事项。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（四）绩效目标设定情况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成本指标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①经济成本指标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整体支出控制在预算数内得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②社会成本指标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社会成本节约率≥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分，如不适用直接得分。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③生态环境成本指标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生态环境成本节约率≥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分，如不适用直接得分。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产出指标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①数量指标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信访件及时办结率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95%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以上，按计划完成得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分，否则按比例扣分。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②质量指标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越级访、非正常访下降得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分，否则酌情扣分。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③时效指标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按年度工作计划完成达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95%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以上，得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分，下降按比例扣分。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效益指标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①经济效益指标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经济效益情况效果明显得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分，效果一般得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分，如不适用直接得分。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②社会效益指标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信访总量逐步下降得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分，否则不得分。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③生态效益指标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生态效益情况效果明显得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分，效果一般得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分，如不适用直接得分。</w:t>
      </w:r>
    </w:p>
    <w:p w:rsidR="003E459F" w:rsidRDefault="003E459F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fldChar w:fldCharType="begin"/>
      </w:r>
      <w:r w:rsidR="00F77DD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instrText xml:space="preserve"> = 4 \* GB3 \* MERGEFORMAT </w:instrTex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fldChar w:fldCharType="separate"/>
      </w:r>
      <w:r w:rsidR="00F77DDC">
        <w:rPr>
          <w:rFonts w:ascii="仿宋_GB2312" w:eastAsia="仿宋_GB2312" w:hAnsi="仿宋_GB2312" w:cs="仿宋_GB2312" w:hint="eastAsia"/>
          <w:sz w:val="32"/>
          <w:szCs w:val="32"/>
        </w:rPr>
        <w:t>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fldChar w:fldCharType="end"/>
      </w:r>
      <w:r w:rsidR="00F77DDC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可持续影响指标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无恶性事件发生得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分，否则不得分。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满意度指标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信访及时受理群众满意度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90%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以上得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分，下降按比例扣分。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lastRenderedPageBreak/>
        <w:t>二、部门整体支出管理及使用情况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（一）预算执行、使用、管理总体情况。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单位预算执行情况总体良好，各项支出严格按照预算计划执行，严格按照预算计划进行支出，严格控制各项支出的规模，确保了预算的执行情况符合预期目标。在执行过程中，我们注重节约开支，合理安排资金使用，也注重对预算执行情况进行及时监控和分析，及时发现和解决执行中的问题和难点，确保了预算的有效执行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年收入全部为一般公共预算财政拨款收入，收入决算总额为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235.74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年一般公共预算财政拨款支出决算总额为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235.74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155.60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80.14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在预算资金管理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方面：本单位建立了健全的预算监督机制，加强了对预算执行情况的监督机制，加强了对预算执行情况的监督和检查，及时发现和纠正预算执行中的问题，并及时总结和评估，为来年的预算编制和执行提供参考和借鉴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（二）部门预算执行情况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基本支出情况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年一般公共预算财政拨款支出决算总额为</w:t>
      </w:r>
      <w:r>
        <w:rPr>
          <w:rFonts w:ascii="仿宋_GB2312" w:eastAsia="仿宋_GB2312" w:hAnsi="仿宋_GB2312" w:cs="仿宋_GB2312" w:hint="eastAsia"/>
          <w:sz w:val="32"/>
          <w:szCs w:val="32"/>
        </w:rPr>
        <w:t>235.74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万元，全部为基本支出。其中：人员经费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155.60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万元，占基本支出的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，主要包括基本工资、津贴补贴、奖金、伙食补助费、绩效工资、机关事业养老缴费、职业年金缴费、职工医疗保险缴费、其他社会保障缴费、其他工资福利支出、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对个人和家庭补助；公用经费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80.14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万元，占基本支出的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，主要包括办公费、印刷费、差旅费、邮电费、公务接待费、劳务费、委托业务费、工会经费、其他交通费、其他商品和服务支出、资本性支出。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项目支出情况</w:t>
      </w:r>
    </w:p>
    <w:p w:rsidR="003E459F" w:rsidRDefault="00F77DD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年度决算无项目支出资金情况。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（三）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“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三公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”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经费使用和管理情况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年，我单位“三公”经费年初预算为</w:t>
      </w:r>
      <w:r>
        <w:rPr>
          <w:rFonts w:ascii="仿宋_GB2312" w:eastAsia="仿宋_GB2312" w:hAnsi="仿宋_GB2312" w:cs="仿宋_GB2312" w:hint="eastAsia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2.67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万元。截至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日，本单位共有车辆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辆。年度公务用车运行维护费支出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万元，公务接待费支出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万元，未发生因公出国（境）费用支出。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政府性基金预算支出情况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年没有政府性基金预算收支。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四、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国有资本经营预算支出情况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年没有国有资本经营预算收支。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五、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社会保险基金预算支出情况</w:t>
      </w:r>
    </w:p>
    <w:p w:rsidR="003E459F" w:rsidRDefault="00F77DDC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年没有社会保险基金预算收支。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六、部门整体支出绩效情况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8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（一）综合评价结论</w:t>
      </w:r>
    </w:p>
    <w:p w:rsidR="003E459F" w:rsidRDefault="00F77DD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根据绩效评价的相关要求，我单位成立了以局长为组长，分管副局长为副组长的财政资金绩效评价工作小组，并安排专人做好绩效评价工作。通过查阅项目、财务资料，采取自评方式开展绩效评价。</w:t>
      </w:r>
    </w:p>
    <w:p w:rsidR="003E459F" w:rsidRDefault="00F77DDC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依据工作方案开展绩效评价工作，按照《部门整体支出绩效评价指标体系评分表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》，对部门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年度部门整体支出进行客观评价，最终评分结果为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分，绩效评级为“优”。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（二）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  <w:shd w:val="clear" w:color="auto" w:fill="FFFFFF"/>
        </w:rPr>
        <w:t>评价指标分析（或综合评价情况）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绩效目标任务完成情况：全年信访总量</w:t>
      </w:r>
      <w:r>
        <w:rPr>
          <w:rFonts w:ascii="仿宋_GB2312" w:eastAsia="仿宋_GB2312" w:hAnsi="仿宋_GB2312" w:cs="仿宋_GB2312" w:hint="eastAsia"/>
          <w:sz w:val="32"/>
          <w:szCs w:val="32"/>
        </w:rPr>
        <w:t>185</w:t>
      </w:r>
      <w:r>
        <w:rPr>
          <w:rFonts w:ascii="仿宋_GB2312" w:eastAsia="仿宋_GB2312" w:hAnsi="仿宋_GB2312" w:cs="仿宋_GB2312" w:hint="eastAsia"/>
          <w:sz w:val="32"/>
          <w:szCs w:val="32"/>
        </w:rPr>
        <w:t>件次，同比下降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8.42%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来</w:t>
      </w:r>
      <w:r>
        <w:rPr>
          <w:rFonts w:ascii="仿宋_GB2312" w:eastAsia="仿宋_GB2312" w:hAnsi="仿宋_GB2312" w:cs="仿宋_GB2312" w:hint="eastAsia"/>
          <w:sz w:val="32"/>
          <w:szCs w:val="32"/>
        </w:rPr>
        <w:t>信下降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21.62%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网信下降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42.47%</w:t>
      </w:r>
      <w:r>
        <w:rPr>
          <w:rFonts w:ascii="仿宋_GB2312" w:eastAsia="仿宋_GB2312" w:hAnsi="仿宋_GB2312" w:cs="仿宋_GB2312" w:hint="eastAsia"/>
          <w:sz w:val="32"/>
          <w:szCs w:val="32"/>
        </w:rPr>
        <w:t>，走访上升</w:t>
      </w:r>
      <w:r>
        <w:rPr>
          <w:rFonts w:ascii="仿宋_GB2312" w:eastAsia="仿宋_GB2312" w:hAnsi="仿宋_GB2312" w:cs="仿宋_GB2312" w:hint="eastAsia"/>
          <w:sz w:val="32"/>
          <w:szCs w:val="32"/>
        </w:rPr>
        <w:t>23.91%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到国家信访局信访总量下降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29.33%</w:t>
      </w:r>
      <w:r>
        <w:rPr>
          <w:rFonts w:ascii="仿宋_GB2312" w:eastAsia="仿宋_GB2312" w:hAnsi="仿宋_GB2312" w:cs="仿宋_GB2312" w:hint="eastAsia"/>
          <w:sz w:val="32"/>
          <w:szCs w:val="32"/>
        </w:rPr>
        <w:t>，到国家局申诉求决类下降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20.83%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信访部门及时受理率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，责任单位及时受理率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，信访部门准确转交率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99.16%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，行政三级办结率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，一次性化解率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98.77%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产出指标完成情况分析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①数量指标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信访件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sz w:val="32"/>
          <w:szCs w:val="32"/>
        </w:rPr>
        <w:t>办结率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②质量指标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越级访、非正常访下降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29.33%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③时效指标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所有工作均在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月底前完成，按时完成率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成本指标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经济成本指标</w:t>
      </w:r>
    </w:p>
    <w:p w:rsidR="003E459F" w:rsidRDefault="00F77DDC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年部门预算基本支出，实际完成值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235.74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</w:t>
      </w:r>
    </w:p>
    <w:p w:rsidR="003E459F" w:rsidRDefault="00F77DDC">
      <w:pPr>
        <w:widowControl/>
        <w:shd w:val="clear" w:color="auto" w:fill="FFFFFF"/>
        <w:snapToGrid w:val="0"/>
        <w:spacing w:line="59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预算成本控制率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主要是人员经费开支增加及信息创新购置办公设备等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②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社会成本指标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社会成本节约率不适用。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③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生态环境成本指标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生态环境成本节约率不适用。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效益指标完成情况分析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①社会效益指标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信访总量下降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8.42%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②可持续影响指标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维护社会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</w:t>
      </w:r>
      <w:r>
        <w:rPr>
          <w:rFonts w:ascii="仿宋_GB2312" w:eastAsia="仿宋_GB2312" w:hAnsi="仿宋_GB2312" w:cs="仿宋_GB2312" w:hint="eastAsia"/>
          <w:sz w:val="32"/>
          <w:szCs w:val="32"/>
        </w:rPr>
        <w:t>稳定，无恶性事件发生。</w:t>
      </w:r>
    </w:p>
    <w:p w:rsidR="003E459F" w:rsidRDefault="00F77DDC" w:rsidP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满意度指标情况分析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广大群众对信访问题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sz w:val="32"/>
          <w:szCs w:val="32"/>
        </w:rPr>
        <w:t>受理满意度达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七、存在的问题及原因分析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单位各股室预算编制不够精细化，绩效评价指标体系还不够完善、合理，个性指标在标准设计上存在难度，导致评价内容不够全面，难以满足不同层面和不同性质的绩效评价需求。</w:t>
      </w:r>
    </w:p>
    <w:p w:rsidR="003E459F" w:rsidRDefault="00F77DDC">
      <w:pPr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绩效评价管理制度尚不健全。办公室还尚未制定相关的管理办法和实施细则，绩效评价开展缺乏强有力的制度保障。</w:t>
      </w:r>
    </w:p>
    <w:p w:rsidR="003E459F" w:rsidRDefault="00F77DDC">
      <w:pPr>
        <w:widowControl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人员素质有待进一步提升。由于预算绩效管理工作开展时间短，涉及面广，专业性强，相关工作人员对预算绩效管理理解不充分，对预算绩效管理业务不精通，在一定程度上影响了绩效评价工作质量。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lastRenderedPageBreak/>
        <w:t>八、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下一步改进措施</w:t>
      </w:r>
    </w:p>
    <w:p w:rsidR="003E459F" w:rsidRDefault="00F77DDC">
      <w:pPr>
        <w:pStyle w:val="a5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科学合理编制预算并严格执行预算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3E459F" w:rsidRDefault="00F77DDC">
      <w:pPr>
        <w:pStyle w:val="a5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建立健全绩效评价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管理制度，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推进绩效评价工作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3E459F" w:rsidRDefault="00F77DDC">
      <w:pPr>
        <w:pStyle w:val="a5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spacing w:val="-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强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相关工作人员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shd w:val="clear" w:color="auto" w:fill="FFFFFF"/>
        </w:rPr>
        <w:t>业务培训和会计制度及预算法学习。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九、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其他需要说明的情况</w:t>
      </w:r>
    </w:p>
    <w:p w:rsidR="003E459F" w:rsidRDefault="00F77DDC">
      <w:pPr>
        <w:pStyle w:val="a5"/>
        <w:widowControl/>
        <w:shd w:val="clear" w:color="auto" w:fill="FFFFFF"/>
        <w:snapToGrid w:val="0"/>
        <w:spacing w:beforeAutospacing="0" w:afterAutospacing="0" w:line="59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无</w:t>
      </w:r>
    </w:p>
    <w:p w:rsidR="003E459F" w:rsidRDefault="003E459F">
      <w:pPr>
        <w:rPr>
          <w:rFonts w:ascii="仿宋" w:eastAsia="仿宋" w:hAnsi="仿宋" w:cs="仿宋"/>
          <w:sz w:val="32"/>
          <w:szCs w:val="32"/>
        </w:rPr>
      </w:pPr>
    </w:p>
    <w:p w:rsidR="003E459F" w:rsidRPr="00F77DDC" w:rsidRDefault="003E459F" w:rsidP="00F77DDC">
      <w:pPr>
        <w:rPr>
          <w:rFonts w:ascii="仿宋" w:eastAsia="仿宋" w:hAnsi="仿宋" w:cs="仿宋"/>
          <w:sz w:val="32"/>
          <w:szCs w:val="32"/>
        </w:rPr>
      </w:pPr>
    </w:p>
    <w:sectPr w:rsidR="003E459F" w:rsidRPr="00F77DDC" w:rsidSect="003E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59F"/>
    <w:rsid w:val="003E459F"/>
    <w:rsid w:val="00F77DDC"/>
    <w:rsid w:val="03062E66"/>
    <w:rsid w:val="04F7338F"/>
    <w:rsid w:val="0A6A13BE"/>
    <w:rsid w:val="178B4F1F"/>
    <w:rsid w:val="18CD4DBA"/>
    <w:rsid w:val="1B844185"/>
    <w:rsid w:val="1C5E2BCF"/>
    <w:rsid w:val="201A1F26"/>
    <w:rsid w:val="28103485"/>
    <w:rsid w:val="2CDB0A11"/>
    <w:rsid w:val="370A5DB0"/>
    <w:rsid w:val="37586B6D"/>
    <w:rsid w:val="3A2107C0"/>
    <w:rsid w:val="3D59327E"/>
    <w:rsid w:val="42AA2AE3"/>
    <w:rsid w:val="43A2167C"/>
    <w:rsid w:val="4BA94E0D"/>
    <w:rsid w:val="596C727A"/>
    <w:rsid w:val="5BCA31CC"/>
    <w:rsid w:val="61703C7C"/>
    <w:rsid w:val="641E704E"/>
    <w:rsid w:val="643F4FE8"/>
    <w:rsid w:val="707A025D"/>
    <w:rsid w:val="7D5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59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3E459F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E45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E459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E459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标题1"/>
    <w:basedOn w:val="2"/>
    <w:autoRedefine/>
    <w:qFormat/>
    <w:rsid w:val="003E459F"/>
    <w:rPr>
      <w:rFonts w:eastAsia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2025-05-15T03:28:00Z</cp:lastPrinted>
  <dcterms:created xsi:type="dcterms:W3CDTF">2025-05-09T04:28:00Z</dcterms:created>
  <dcterms:modified xsi:type="dcterms:W3CDTF">2025-09-09T02:26:00Z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eyJoZGlkIjoiMzU0YzA3YWJkZDUxZGUxYmRjMmQ4OWI2YTZjODI5OWMiLCJ1c2VySWQiOiIyNTk4MjczNjMifQ==</vt:lpwstr>
  </property>
  <property fmtid="{D5CDD505-2E9C-101B-9397-08002B2CF9AE}" pid="4" name="ICV">
    <vt:lpwstr>8549360A5DDB41F799E3E214B4E6189E_12</vt:lpwstr>
  </property>
</Properties>
</file>