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hint="eastAsia" w:ascii="黑体" w:hAnsi="黑体" w:eastAsia="黑体" w:cs="宋体"/>
          <w:bCs/>
          <w:sz w:val="44"/>
          <w:szCs w:val="44"/>
        </w:rPr>
      </w:pPr>
    </w:p>
    <w:p>
      <w:pPr>
        <w:shd w:val="clear" w:color="auto" w:fill="FFFFFF"/>
        <w:jc w:val="center"/>
        <w:rPr>
          <w:rFonts w:hint="eastAsia" w:ascii="黑体" w:hAnsi="黑体" w:eastAsia="黑体" w:cs="宋体"/>
          <w:bCs/>
          <w:sz w:val="44"/>
          <w:szCs w:val="44"/>
        </w:rPr>
      </w:pPr>
    </w:p>
    <w:p>
      <w:pPr>
        <w:shd w:val="clear" w:color="auto" w:fill="FFFFFF"/>
        <w:jc w:val="center"/>
        <w:rPr>
          <w:rFonts w:hint="eastAsia" w:ascii="黑体" w:hAnsi="黑体" w:eastAsia="黑体" w:cs="宋体"/>
          <w:bCs/>
          <w:sz w:val="44"/>
          <w:szCs w:val="44"/>
        </w:rPr>
      </w:pPr>
    </w:p>
    <w:p>
      <w:pPr>
        <w:shd w:val="clear" w:color="auto" w:fill="FFFFFF"/>
        <w:jc w:val="center"/>
        <w:rPr>
          <w:rFonts w:hint="eastAsia" w:ascii="黑体" w:hAnsi="黑体" w:eastAsia="黑体" w:cs="宋体"/>
          <w:bCs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hint="eastAsia" w:ascii="Times New Roman" w:hAnsi="Times New Roman" w:eastAsia="方正小标宋_GBK" w:cs="Times New Roman"/>
          <w:sz w:val="52"/>
          <w:szCs w:val="52"/>
          <w:lang w:eastAsia="zh-CN"/>
        </w:rPr>
        <w:t>辰溪县信访局</w:t>
      </w:r>
      <w:r>
        <w:rPr>
          <w:rFonts w:hint="eastAsia" w:ascii="Times New Roman" w:hAnsi="Times New Roman" w:eastAsia="方正小标宋_GBK" w:cs="Times New Roman"/>
          <w:sz w:val="52"/>
          <w:szCs w:val="52"/>
          <w:lang w:val="en-US" w:eastAsia="zh-CN"/>
        </w:rPr>
        <w:t>2022年</w:t>
      </w:r>
      <w:r>
        <w:rPr>
          <w:rFonts w:ascii="Times New Roman" w:hAnsi="Times New Roman" w:eastAsia="方正小标宋_GBK" w:cs="Times New Roman"/>
          <w:sz w:val="52"/>
          <w:szCs w:val="52"/>
        </w:rPr>
        <w:t>部门整体</w:t>
      </w:r>
      <w:r>
        <w:rPr>
          <w:rFonts w:hint="eastAsia" w:ascii="Times New Roman" w:hAnsi="Times New Roman" w:eastAsia="方正小标宋_GBK" w:cs="Times New Roman"/>
          <w:sz w:val="52"/>
          <w:szCs w:val="52"/>
          <w:lang w:eastAsia="zh-CN"/>
        </w:rPr>
        <w:t>支</w:t>
      </w:r>
      <w:r>
        <w:rPr>
          <w:rFonts w:ascii="Times New Roman" w:hAnsi="Times New Roman" w:eastAsia="方正小标宋_GBK" w:cs="Times New Roman"/>
          <w:sz w:val="52"/>
          <w:szCs w:val="52"/>
        </w:rPr>
        <w:t>出绩效自评报告</w:t>
      </w:r>
    </w:p>
    <w:p>
      <w:pPr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both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hd w:val="clear" w:color="auto" w:fill="FFFFFF"/>
        <w:jc w:val="center"/>
        <w:rPr>
          <w:rFonts w:hint="eastAsia" w:ascii="黑体" w:hAnsi="黑体" w:eastAsia="黑体" w:cs="宋体"/>
          <w:bCs/>
          <w:sz w:val="44"/>
          <w:szCs w:val="44"/>
        </w:rPr>
      </w:pPr>
    </w:p>
    <w:p>
      <w:pPr>
        <w:shd w:val="clear" w:color="auto" w:fill="FFFFFF"/>
        <w:jc w:val="center"/>
        <w:rPr>
          <w:rFonts w:hint="eastAsia" w:ascii="黑体" w:hAnsi="黑体" w:eastAsia="黑体" w:cs="宋体"/>
          <w:bCs/>
          <w:sz w:val="44"/>
          <w:szCs w:val="44"/>
        </w:rPr>
      </w:pPr>
    </w:p>
    <w:p>
      <w:pPr>
        <w:shd w:val="clear" w:color="auto" w:fill="FFFFFF"/>
        <w:jc w:val="both"/>
        <w:rPr>
          <w:rFonts w:hint="eastAsia" w:ascii="黑体" w:hAnsi="黑体" w:eastAsia="黑体" w:cs="宋体"/>
          <w:bCs/>
          <w:sz w:val="44"/>
          <w:szCs w:val="44"/>
        </w:rPr>
      </w:pPr>
    </w:p>
    <w:p>
      <w:pPr>
        <w:shd w:val="clear" w:color="auto" w:fill="FFFFFF"/>
        <w:jc w:val="both"/>
        <w:rPr>
          <w:rFonts w:hint="eastAsia" w:ascii="黑体" w:hAnsi="黑体" w:eastAsia="黑体" w:cs="宋体"/>
          <w:bCs/>
          <w:sz w:val="44"/>
          <w:szCs w:val="44"/>
        </w:rPr>
      </w:pPr>
    </w:p>
    <w:p>
      <w:pPr>
        <w:shd w:val="clear" w:color="auto" w:fill="FFFFFF"/>
        <w:jc w:val="both"/>
        <w:rPr>
          <w:rFonts w:hint="eastAsia" w:ascii="黑体" w:hAnsi="黑体" w:eastAsia="黑体" w:cs="宋体"/>
          <w:bCs/>
          <w:sz w:val="44"/>
          <w:szCs w:val="44"/>
        </w:rPr>
      </w:pPr>
    </w:p>
    <w:p>
      <w:pPr>
        <w:shd w:val="clear" w:color="auto" w:fill="FFFFFF"/>
        <w:jc w:val="both"/>
        <w:rPr>
          <w:rFonts w:ascii="黑体" w:hAnsi="黑体" w:eastAsia="黑体" w:cs="宋体"/>
          <w:bCs/>
          <w:sz w:val="44"/>
          <w:szCs w:val="44"/>
        </w:rPr>
      </w:pPr>
      <w:r>
        <w:rPr>
          <w:rFonts w:hint="eastAsia" w:ascii="黑体" w:hAnsi="黑体" w:eastAsia="黑体" w:cs="宋体"/>
          <w:bCs/>
          <w:sz w:val="44"/>
          <w:szCs w:val="44"/>
        </w:rPr>
        <w:t>辰溪县信访局</w:t>
      </w:r>
      <w:r>
        <w:rPr>
          <w:rFonts w:ascii="黑体" w:hAnsi="黑体" w:eastAsia="黑体" w:cs="宋体"/>
          <w:bCs/>
          <w:sz w:val="44"/>
          <w:szCs w:val="44"/>
        </w:rPr>
        <w:t>202</w:t>
      </w:r>
      <w:r>
        <w:rPr>
          <w:rFonts w:hint="eastAsia" w:ascii="黑体" w:hAnsi="黑体" w:eastAsia="黑体" w:cs="宋体"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宋体"/>
          <w:bCs/>
          <w:sz w:val="44"/>
          <w:szCs w:val="44"/>
        </w:rPr>
        <w:t>年度整体支出绩效自评</w:t>
      </w:r>
    </w:p>
    <w:p>
      <w:pPr>
        <w:shd w:val="clear" w:color="auto" w:fill="FFFFFF"/>
        <w:jc w:val="center"/>
        <w:rPr>
          <w:rFonts w:ascii="黑体" w:hAnsi="黑体" w:eastAsia="黑体" w:cs="宋体"/>
          <w:bCs/>
          <w:sz w:val="44"/>
          <w:szCs w:val="44"/>
        </w:rPr>
      </w:pPr>
      <w:r>
        <w:rPr>
          <w:rFonts w:hint="eastAsia" w:ascii="黑体" w:hAnsi="黑体" w:eastAsia="黑体" w:cs="宋体"/>
          <w:bCs/>
          <w:sz w:val="44"/>
          <w:szCs w:val="44"/>
        </w:rPr>
        <w:t>报</w:t>
      </w:r>
      <w:r>
        <w:rPr>
          <w:rFonts w:ascii="黑体" w:hAnsi="黑体" w:eastAsia="黑体" w:cs="宋体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宋体"/>
          <w:bCs/>
          <w:sz w:val="44"/>
          <w:szCs w:val="44"/>
        </w:rPr>
        <w:t>告</w:t>
      </w:r>
    </w:p>
    <w:p>
      <w:pPr>
        <w:spacing w:after="120" w:line="600" w:lineRule="exact"/>
        <w:ind w:firstLine="640" w:firstLineChars="200"/>
        <w:rPr>
          <w:rFonts w:ascii="方正大标宋简体" w:hAnsi="仿宋" w:eastAsia="方正大标宋简体" w:cs="仿宋"/>
          <w:bCs/>
          <w:sz w:val="32"/>
          <w:szCs w:val="32"/>
        </w:rPr>
      </w:pPr>
      <w:r>
        <w:rPr>
          <w:rFonts w:hint="eastAsia" w:ascii="方正大标宋简体" w:hAnsi="仿宋" w:eastAsia="方正大标宋简体" w:cs="仿宋"/>
          <w:bCs/>
          <w:sz w:val="32"/>
          <w:szCs w:val="32"/>
        </w:rPr>
        <w:t>一、单位基本概况</w:t>
      </w:r>
    </w:p>
    <w:p>
      <w:pPr>
        <w:spacing w:after="120" w:line="600" w:lineRule="exact"/>
        <w:ind w:firstLine="643" w:firstLineChars="200"/>
        <w:rPr>
          <w:rFonts w:ascii="FangSong_GB2312" w:eastAsia="FangSong_GB2312"/>
          <w:b/>
          <w:sz w:val="32"/>
          <w:szCs w:val="32"/>
        </w:rPr>
      </w:pPr>
      <w:r>
        <w:rPr>
          <w:rFonts w:hint="eastAsia" w:ascii="FangSong_GB2312" w:eastAsia="FangSong_GB2312"/>
          <w:b/>
          <w:sz w:val="32"/>
          <w:szCs w:val="32"/>
        </w:rPr>
        <w:t>（一）部门职能职责</w:t>
      </w:r>
    </w:p>
    <w:p>
      <w:pPr>
        <w:spacing w:after="120" w:line="60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县信访局是为县委、县人民政府主管信访工作的机构，是县人民政府组成工作部门，主要职责是：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负责处理人民群众给县委、县人民政府的来信（含网上信访），接待群众上访，为领导同志接待上访群众做好组织服务工作；综合分析信访信息，及时、准确地向县委、县人民政府领导同志反映来信来访中提出的重要建议、意见和问题，保证信访渠道畅通，负责县级领导包案处理信访问题的服务保障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承办上级信访部门和县委、县人民政府领导同志交办、转办的信访事项，督促检查领导同志批示件的落实情况；向各乡镇和县直各部门交办信访事项，督促检查重要信访事项的处理和落实。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协调处理跨地区、跨部门的重大信访问题；协调处理群众集体来县到市赴省进京上访和异常、突发性信事件；督促、协调县直各部门和各乡镇的信访工作。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拟定全县有关信访工作的政策和法律、法规，并负责组织实施；负责全县信访系统的法治建设。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指导全县信访业务，总结推广信访工作经验，提出改进和加强信访工作的意见和建议。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了解并掌握全县信访工作队伍建设情况，提出加强各乡镇和县直各部门信访队伍建设措施；组织全县信访干部的培训；指导各乡镇和县直各部门信访工作办公自动化和信息化建设。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负责信访工作的调研宣传和信息报送等工作。</w:t>
      </w:r>
    </w:p>
    <w:p>
      <w:pPr>
        <w:spacing w:after="120"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</w:rPr>
        <w:t>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责驻长劝返和驻京劝返的联络工作，承担县信访联席会议办公室的日常工作，督促落实县信访联席会议决定的事项。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承办县委、县人民政府及县委办、县政府办交办的其他事项。</w:t>
      </w:r>
    </w:p>
    <w:p>
      <w:pPr>
        <w:spacing w:after="120" w:line="6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（二）机构设置</w:t>
      </w:r>
    </w:p>
    <w:p>
      <w:pPr>
        <w:spacing w:after="12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设置办公室（办信室）、接访室、综合督查室。</w:t>
      </w:r>
    </w:p>
    <w:p>
      <w:pPr>
        <w:spacing w:after="120" w:line="600" w:lineRule="exact"/>
        <w:ind w:firstLine="640" w:firstLineChars="200"/>
        <w:rPr>
          <w:rFonts w:ascii="方正大标宋简体" w:hAnsi="仿宋" w:eastAsia="方正大标宋简体" w:cs="仿宋"/>
          <w:bCs/>
          <w:sz w:val="32"/>
          <w:szCs w:val="32"/>
        </w:rPr>
      </w:pPr>
      <w:r>
        <w:rPr>
          <w:rFonts w:hint="eastAsia" w:ascii="方正大标宋简体" w:hAnsi="仿宋" w:eastAsia="方正大标宋简体" w:cs="仿宋"/>
          <w:bCs/>
          <w:sz w:val="32"/>
          <w:szCs w:val="32"/>
        </w:rPr>
        <w:t>二、一般公共预算支出情况</w:t>
      </w:r>
    </w:p>
    <w:p>
      <w:pPr>
        <w:pStyle w:val="1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FangSong_GB2312" w:hAnsi="仿宋" w:eastAsia="FangSong_GB2312" w:cs="仿宋"/>
          <w:sz w:val="32"/>
          <w:szCs w:val="32"/>
        </w:rPr>
        <w:t>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2</w:t>
      </w:r>
      <w:r>
        <w:rPr>
          <w:rFonts w:hint="eastAsia" w:ascii="FangSong_GB2312" w:hAnsi="仿宋" w:eastAsia="FangSong_GB2312" w:cs="仿宋"/>
          <w:sz w:val="32"/>
          <w:szCs w:val="32"/>
        </w:rPr>
        <w:t>年一般公共预算财政拨款支出决算总额为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347.39</w:t>
      </w:r>
      <w:r>
        <w:rPr>
          <w:rFonts w:hint="eastAsia" w:ascii="FangSong_GB2312" w:hAnsi="仿宋" w:eastAsia="FangSong_GB2312" w:cs="仿宋"/>
          <w:sz w:val="32"/>
          <w:szCs w:val="32"/>
        </w:rPr>
        <w:t>万元，全部为基本支出。其中：</w:t>
      </w:r>
      <w:r>
        <w:rPr>
          <w:rFonts w:hint="eastAsia" w:ascii="FangSong_GB2312" w:hAnsi="宋体" w:eastAsia="FangSong_GB2312"/>
          <w:sz w:val="32"/>
          <w:szCs w:val="32"/>
        </w:rPr>
        <w:t>人员经费</w:t>
      </w:r>
      <w:r>
        <w:rPr>
          <w:rFonts w:hint="eastAsia" w:ascii="FangSong_GB2312" w:hAnsi="宋体" w:eastAsia="FangSong_GB2312"/>
          <w:sz w:val="32"/>
          <w:szCs w:val="32"/>
          <w:lang w:val="en-US" w:eastAsia="zh-CN"/>
        </w:rPr>
        <w:t>219.9</w:t>
      </w:r>
      <w:r>
        <w:rPr>
          <w:rFonts w:hint="eastAsia" w:ascii="FangSong_GB2312" w:hAnsi="宋体" w:eastAsia="FangSong_GB2312"/>
          <w:sz w:val="32"/>
          <w:szCs w:val="32"/>
        </w:rPr>
        <w:t>万元，占基本支出的</w:t>
      </w:r>
      <w:r>
        <w:rPr>
          <w:rFonts w:hint="eastAsia" w:ascii="FangSong_GB2312" w:hAnsi="宋体" w:eastAsia="FangSong_GB2312"/>
          <w:sz w:val="32"/>
          <w:szCs w:val="32"/>
          <w:lang w:val="en-US" w:eastAsia="zh-CN"/>
        </w:rPr>
        <w:t>63.3</w:t>
      </w:r>
      <w:r>
        <w:rPr>
          <w:rFonts w:ascii="FangSong_GB2312" w:hAnsi="宋体" w:eastAsia="FangSong_GB2312"/>
          <w:sz w:val="32"/>
          <w:szCs w:val="32"/>
        </w:rPr>
        <w:t>%</w:t>
      </w:r>
      <w:r>
        <w:rPr>
          <w:rFonts w:hint="eastAsia" w:ascii="FangSong_GB2312" w:hAnsi="宋体" w:eastAsia="FangSong_GB2312"/>
          <w:sz w:val="32"/>
          <w:szCs w:val="32"/>
        </w:rPr>
        <w:t>，主要包括</w:t>
      </w:r>
      <w:r>
        <w:rPr>
          <w:rFonts w:hint="eastAsia" w:ascii="仿宋" w:hAnsi="仿宋" w:eastAsia="仿宋" w:cs="仿宋"/>
          <w:sz w:val="32"/>
          <w:szCs w:val="32"/>
        </w:rPr>
        <w:t>基本工资、津贴补贴、奖金、伙食补助费、绩效工资、机关事业单位基本养老保险缴费、职业年金缴费、职工基本医疗保险缴费、其他社会保障缴费、其他工资福利支出、生活补助。</w:t>
      </w:r>
    </w:p>
    <w:p>
      <w:pPr>
        <w:spacing w:after="120" w:line="600" w:lineRule="exact"/>
        <w:ind w:firstLine="640" w:firstLineChars="200"/>
        <w:rPr>
          <w:rFonts w:ascii="FangSong_GB2312" w:hAnsi="宋体" w:eastAsia="FangSong_GB2312"/>
          <w:sz w:val="32"/>
          <w:szCs w:val="32"/>
        </w:rPr>
      </w:pPr>
      <w:r>
        <w:rPr>
          <w:rFonts w:hint="eastAsia" w:ascii="FangSong_GB2312" w:hAnsi="宋体" w:eastAsia="FangSong_GB2312"/>
          <w:sz w:val="32"/>
          <w:szCs w:val="32"/>
        </w:rPr>
        <w:t>公用经费</w:t>
      </w:r>
      <w:r>
        <w:rPr>
          <w:rFonts w:hint="eastAsia" w:ascii="FangSong_GB2312" w:hAnsi="宋体" w:eastAsia="FangSong_GB2312"/>
          <w:sz w:val="32"/>
          <w:szCs w:val="32"/>
          <w:lang w:val="en-US" w:eastAsia="zh-CN"/>
        </w:rPr>
        <w:t>127.49</w:t>
      </w:r>
      <w:r>
        <w:rPr>
          <w:rFonts w:hint="eastAsia" w:ascii="FangSong_GB2312" w:hAnsi="宋体" w:eastAsia="FangSong_GB2312"/>
          <w:sz w:val="32"/>
          <w:szCs w:val="32"/>
        </w:rPr>
        <w:t>万元，占基本支出的</w:t>
      </w:r>
      <w:r>
        <w:rPr>
          <w:rFonts w:hint="eastAsia" w:ascii="FangSong_GB2312" w:hAnsi="宋体" w:eastAsia="FangSong_GB2312"/>
          <w:sz w:val="32"/>
          <w:szCs w:val="32"/>
          <w:lang w:val="en-US" w:eastAsia="zh-CN"/>
        </w:rPr>
        <w:t>36.7</w:t>
      </w:r>
      <w:r>
        <w:rPr>
          <w:rFonts w:ascii="FangSong_GB2312" w:hAnsi="宋体" w:eastAsia="FangSong_GB2312"/>
          <w:sz w:val="32"/>
          <w:szCs w:val="32"/>
        </w:rPr>
        <w:t>%</w:t>
      </w:r>
      <w:r>
        <w:rPr>
          <w:rFonts w:hint="eastAsia" w:ascii="FangSong_GB2312" w:hAnsi="宋体" w:eastAsia="FangSong_GB2312"/>
          <w:sz w:val="32"/>
          <w:szCs w:val="32"/>
        </w:rPr>
        <w:t>，主要包括</w:t>
      </w:r>
      <w:r>
        <w:rPr>
          <w:rFonts w:hint="eastAsia" w:ascii="仿宋" w:hAnsi="仿宋" w:eastAsia="仿宋" w:cs="仿宋"/>
          <w:sz w:val="32"/>
          <w:szCs w:val="32"/>
        </w:rPr>
        <w:t>办公费、印刷费、邮电费、差旅费、培训费、公务接待费、劳务费、委托业务费、工会经费、办公设备购置</w:t>
      </w:r>
      <w:r>
        <w:rPr>
          <w:rFonts w:hint="eastAsia" w:ascii="FangSong_GB2312" w:hAnsi="宋体" w:eastAsia="FangSong_GB2312"/>
          <w:sz w:val="32"/>
          <w:szCs w:val="32"/>
        </w:rPr>
        <w:t>。</w:t>
      </w:r>
    </w:p>
    <w:p>
      <w:pPr>
        <w:spacing w:after="120" w:line="600" w:lineRule="exact"/>
        <w:ind w:firstLine="640" w:firstLineChars="200"/>
        <w:rPr>
          <w:rFonts w:hint="default" w:ascii="方正大标宋简体" w:hAnsi="仿宋" w:eastAsia="方正大标宋简体" w:cs="仿宋"/>
          <w:bCs/>
          <w:sz w:val="32"/>
          <w:szCs w:val="32"/>
          <w:lang w:val="en-US" w:eastAsia="zh-CN"/>
        </w:rPr>
      </w:pPr>
      <w:r>
        <w:rPr>
          <w:rFonts w:hint="eastAsia" w:ascii="方正大标宋简体" w:hAnsi="仿宋" w:eastAsia="方正大标宋简体" w:cs="仿宋"/>
          <w:bCs/>
          <w:sz w:val="32"/>
          <w:szCs w:val="32"/>
        </w:rPr>
        <w:t>三、政府性基金预算支出情况</w:t>
      </w:r>
      <w:r>
        <w:rPr>
          <w:rFonts w:hint="eastAsia" w:ascii="方正大标宋简体" w:hAnsi="仿宋" w:eastAsia="方正大标宋简体" w:cs="仿宋"/>
          <w:bCs/>
          <w:sz w:val="32"/>
          <w:szCs w:val="32"/>
          <w:lang w:val="en-US" w:eastAsia="zh-CN"/>
        </w:rPr>
        <w:t xml:space="preserve">                                                              </w:t>
      </w:r>
    </w:p>
    <w:p>
      <w:pPr>
        <w:shd w:val="clear" w:color="auto" w:fill="FFFFFF"/>
        <w:spacing w:after="120" w:line="600" w:lineRule="exact"/>
        <w:ind w:firstLine="640" w:firstLineChars="200"/>
        <w:rPr>
          <w:rFonts w:ascii="FangSong_GB2312" w:hAnsi="仿宋" w:eastAsia="FangSong_GB2312" w:cs="仿宋"/>
          <w:sz w:val="32"/>
          <w:szCs w:val="32"/>
        </w:rPr>
      </w:pPr>
      <w:r>
        <w:rPr>
          <w:rFonts w:hint="eastAsia" w:ascii="FangSong_GB2312" w:hAnsi="仿宋" w:eastAsia="FangSong_GB2312" w:cs="仿宋"/>
          <w:sz w:val="32"/>
          <w:szCs w:val="32"/>
        </w:rPr>
        <w:t>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2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eastAsia="zh-CN"/>
        </w:rPr>
        <w:t>本单位</w:t>
      </w:r>
      <w:r>
        <w:rPr>
          <w:rFonts w:hint="eastAsia" w:ascii="FangSong_GB2312" w:hAnsi="仿宋" w:eastAsia="FangSong_GB2312" w:cs="仿宋"/>
          <w:sz w:val="32"/>
          <w:szCs w:val="32"/>
        </w:rPr>
        <w:t>没有政府性基金预算收支。</w:t>
      </w:r>
    </w:p>
    <w:p>
      <w:pPr>
        <w:spacing w:after="120" w:line="600" w:lineRule="exact"/>
        <w:ind w:firstLine="640" w:firstLineChars="200"/>
        <w:rPr>
          <w:rFonts w:ascii="方正大标宋简体" w:hAnsi="仿宋" w:eastAsia="方正大标宋简体" w:cs="仿宋"/>
          <w:bCs/>
          <w:sz w:val="32"/>
          <w:szCs w:val="32"/>
        </w:rPr>
      </w:pPr>
      <w:r>
        <w:rPr>
          <w:rFonts w:hint="eastAsia" w:ascii="方正大标宋简体" w:hAnsi="仿宋" w:eastAsia="方正大标宋简体" w:cs="仿宋"/>
          <w:bCs/>
          <w:sz w:val="32"/>
          <w:szCs w:val="32"/>
        </w:rPr>
        <w:t>四、国有资本经营预算支出情况</w:t>
      </w:r>
    </w:p>
    <w:p>
      <w:pPr>
        <w:shd w:val="clear" w:color="auto" w:fill="FFFFFF"/>
        <w:spacing w:after="120" w:line="600" w:lineRule="exact"/>
        <w:ind w:firstLine="640" w:firstLineChars="200"/>
        <w:rPr>
          <w:rFonts w:ascii="FangSong_GB2312" w:hAnsi="仿宋" w:eastAsia="FangSong_GB2312" w:cs="仿宋"/>
          <w:sz w:val="32"/>
          <w:szCs w:val="32"/>
        </w:rPr>
      </w:pPr>
      <w:r>
        <w:rPr>
          <w:rFonts w:hint="eastAsia" w:ascii="FangSong_GB2312" w:hAnsi="仿宋" w:eastAsia="FangSong_GB2312" w:cs="仿宋"/>
          <w:sz w:val="32"/>
          <w:szCs w:val="32"/>
        </w:rPr>
        <w:t>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2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eastAsia="zh-CN"/>
        </w:rPr>
        <w:t>本单位</w:t>
      </w:r>
      <w:r>
        <w:rPr>
          <w:rFonts w:hint="eastAsia" w:ascii="FangSong_GB2312" w:hAnsi="仿宋" w:eastAsia="FangSong_GB2312" w:cs="仿宋"/>
          <w:sz w:val="32"/>
          <w:szCs w:val="32"/>
        </w:rPr>
        <w:t>没有国有资本经营预算收支。</w:t>
      </w:r>
    </w:p>
    <w:p>
      <w:pPr>
        <w:spacing w:after="120" w:line="600" w:lineRule="exact"/>
        <w:ind w:firstLine="640" w:firstLineChars="200"/>
        <w:rPr>
          <w:rFonts w:ascii="方正大标宋简体" w:hAnsi="仿宋" w:eastAsia="方正大标宋简体" w:cs="仿宋"/>
          <w:bCs/>
          <w:sz w:val="32"/>
          <w:szCs w:val="32"/>
        </w:rPr>
      </w:pPr>
      <w:r>
        <w:rPr>
          <w:rFonts w:hint="eastAsia" w:ascii="方正大标宋简体" w:hAnsi="仿宋" w:eastAsia="方正大标宋简体" w:cs="仿宋"/>
          <w:bCs/>
          <w:sz w:val="32"/>
          <w:szCs w:val="32"/>
        </w:rPr>
        <w:t>五、社会保险基金预算支出情况</w:t>
      </w:r>
    </w:p>
    <w:p>
      <w:pPr>
        <w:shd w:val="clear" w:color="auto" w:fill="FFFFFF"/>
        <w:spacing w:after="120" w:line="600" w:lineRule="exact"/>
        <w:ind w:firstLine="640" w:firstLineChars="200"/>
        <w:rPr>
          <w:rFonts w:ascii="FangSong_GB2312" w:hAnsi="仿宋" w:eastAsia="FangSong_GB2312" w:cs="仿宋"/>
          <w:sz w:val="32"/>
          <w:szCs w:val="32"/>
        </w:rPr>
      </w:pPr>
      <w:r>
        <w:rPr>
          <w:rFonts w:hint="eastAsia" w:ascii="FangSong_GB2312" w:hAnsi="仿宋" w:eastAsia="FangSong_GB2312" w:cs="仿宋"/>
          <w:sz w:val="32"/>
          <w:szCs w:val="32"/>
        </w:rPr>
        <w:t>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2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eastAsia="zh-CN"/>
        </w:rPr>
        <w:t>本单位</w:t>
      </w:r>
      <w:r>
        <w:rPr>
          <w:rFonts w:hint="eastAsia" w:ascii="FangSong_GB2312" w:hAnsi="仿宋" w:eastAsia="FangSong_GB2312" w:cs="仿宋"/>
          <w:sz w:val="32"/>
          <w:szCs w:val="32"/>
        </w:rPr>
        <w:t>没有社会保险基金预算收支。</w:t>
      </w:r>
    </w:p>
    <w:p>
      <w:pPr>
        <w:spacing w:after="120" w:line="600" w:lineRule="exact"/>
        <w:ind w:firstLine="640" w:firstLineChars="200"/>
        <w:rPr>
          <w:rFonts w:ascii="方正大标宋简体" w:hAnsi="仿宋" w:eastAsia="方正大标宋简体" w:cs="仿宋"/>
          <w:bCs/>
          <w:sz w:val="32"/>
          <w:szCs w:val="32"/>
        </w:rPr>
      </w:pPr>
      <w:r>
        <w:rPr>
          <w:rFonts w:hint="eastAsia" w:ascii="方正大标宋简体" w:hAnsi="仿宋" w:eastAsia="方正大标宋简体" w:cs="仿宋"/>
          <w:bCs/>
          <w:sz w:val="32"/>
          <w:szCs w:val="32"/>
        </w:rPr>
        <w:t>六、部门整体支出绩效情况</w:t>
      </w:r>
    </w:p>
    <w:p>
      <w:pPr>
        <w:spacing w:after="120" w:line="600" w:lineRule="exact"/>
        <w:ind w:firstLine="640" w:firstLineChars="200"/>
        <w:rPr>
          <w:rFonts w:ascii="FangSong_GB2312" w:hAnsi="仿宋" w:eastAsia="FangSong_GB2312" w:cs="仿宋"/>
          <w:sz w:val="32"/>
          <w:szCs w:val="32"/>
        </w:rPr>
      </w:pP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1、</w:t>
      </w:r>
      <w:r>
        <w:rPr>
          <w:rFonts w:hint="eastAsia" w:ascii="FangSong_GB2312" w:hAnsi="仿宋" w:eastAsia="FangSong_GB2312" w:cs="仿宋"/>
          <w:sz w:val="32"/>
          <w:szCs w:val="32"/>
        </w:rPr>
        <w:t>部门整体支出绩效目标,主要包括县级财政或上级主管部门绩效考核的个性指标、预决算公开、资产管理、三公经费控制、内部管理制度建设等的设定及完成情况,项目绩效总目标和阶段性目标完成情况及预期经济、社会效益等。</w:t>
      </w:r>
    </w:p>
    <w:p>
      <w:pPr>
        <w:spacing w:after="120" w:line="600" w:lineRule="exact"/>
        <w:ind w:firstLine="640" w:firstLineChars="200"/>
        <w:rPr>
          <w:rFonts w:ascii="FangSong_GB2312" w:hAnsi="仿宋" w:eastAsia="FangSong_GB2312" w:cs="仿宋"/>
          <w:sz w:val="32"/>
          <w:szCs w:val="32"/>
        </w:rPr>
      </w:pP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2、</w:t>
      </w:r>
      <w:r>
        <w:rPr>
          <w:rFonts w:hint="eastAsia" w:ascii="FangSong_GB2312" w:hAnsi="仿宋" w:eastAsia="FangSong_GB2312" w:cs="仿宋"/>
          <w:sz w:val="32"/>
          <w:szCs w:val="32"/>
        </w:rPr>
        <w:t>严格执行预决算公开,严格按县财政局的要求,对部门预决算在网上按时间结点及时进行公开,接受社会各方的监督。</w:t>
      </w:r>
    </w:p>
    <w:p>
      <w:pPr>
        <w:spacing w:after="120" w:line="600" w:lineRule="exact"/>
        <w:ind w:firstLine="640" w:firstLineChars="200"/>
        <w:rPr>
          <w:rFonts w:ascii="FangSong_GB2312" w:hAnsi="仿宋" w:eastAsia="FangSong_GB2312" w:cs="仿宋"/>
          <w:sz w:val="32"/>
          <w:szCs w:val="32"/>
        </w:rPr>
      </w:pP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3、</w:t>
      </w:r>
      <w:r>
        <w:rPr>
          <w:rFonts w:hint="eastAsia" w:ascii="FangSong_GB2312" w:hAnsi="仿宋" w:eastAsia="FangSong_GB2312" w:cs="仿宋"/>
          <w:sz w:val="32"/>
          <w:szCs w:val="32"/>
        </w:rPr>
        <w:t>全面加强国有资产管理,推进资产管理与预算管理、财务管理相结合。根据有关文件精神,加强对国有资产的管理,并实行专人管理，建立台账，及时入账。</w:t>
      </w:r>
    </w:p>
    <w:p>
      <w:pPr>
        <w:spacing w:after="120" w:line="600" w:lineRule="exact"/>
        <w:ind w:firstLine="640" w:firstLineChars="200"/>
        <w:rPr>
          <w:rFonts w:ascii="FangSong_GB2312" w:hAnsi="仿宋" w:eastAsia="FangSong_GB2312" w:cs="仿宋"/>
          <w:sz w:val="32"/>
          <w:szCs w:val="32"/>
        </w:rPr>
      </w:pP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4、</w:t>
      </w:r>
      <w:r>
        <w:rPr>
          <w:rFonts w:hint="eastAsia" w:ascii="FangSong_GB2312" w:hAnsi="仿宋" w:eastAsia="FangSong_GB2312" w:cs="仿宋"/>
          <w:sz w:val="32"/>
          <w:szCs w:val="32"/>
        </w:rPr>
        <w:t>三公经费控制及制度建设情况:一是严格控制“三公经费”管理,严格公务接待,规范接待标准。制定了《辰溪县信访局内部控制制度》,并严格按制度执行,确保各项经费的使用规范和使用效益。</w:t>
      </w:r>
    </w:p>
    <w:p>
      <w:pPr>
        <w:spacing w:after="120" w:line="600" w:lineRule="exact"/>
        <w:ind w:firstLine="640" w:firstLineChars="200"/>
        <w:rPr>
          <w:rFonts w:ascii="方正大标宋简体" w:hAnsi="仿宋" w:eastAsia="方正大标宋简体" w:cs="仿宋"/>
          <w:bCs/>
          <w:sz w:val="32"/>
          <w:szCs w:val="32"/>
        </w:rPr>
      </w:pPr>
      <w:r>
        <w:rPr>
          <w:rFonts w:hint="eastAsia" w:ascii="方正大标宋简体" w:hAnsi="仿宋" w:eastAsia="方正大标宋简体" w:cs="仿宋"/>
          <w:bCs/>
          <w:sz w:val="32"/>
          <w:szCs w:val="32"/>
        </w:rPr>
        <w:t>七、存在的主要问题</w:t>
      </w:r>
    </w:p>
    <w:p>
      <w:pPr>
        <w:shd w:val="clear" w:color="auto" w:fill="FFFFFF"/>
        <w:spacing w:after="120" w:line="600" w:lineRule="exact"/>
        <w:ind w:firstLine="640" w:firstLineChars="200"/>
        <w:rPr>
          <w:rFonts w:hint="eastAsia" w:ascii="FangSong_GB2312" w:hAnsi="仿宋" w:eastAsia="FangSong_GB2312" w:cs="仿宋"/>
          <w:sz w:val="32"/>
          <w:szCs w:val="32"/>
        </w:rPr>
      </w:pPr>
      <w:r>
        <w:rPr>
          <w:rFonts w:hint="eastAsia" w:ascii="FangSong_GB2312" w:hAnsi="仿宋" w:eastAsia="FangSong_GB2312" w:cs="仿宋"/>
          <w:sz w:val="32"/>
          <w:szCs w:val="32"/>
        </w:rPr>
        <w:t>1、单位各股室预算</w:t>
      </w:r>
      <w:r>
        <w:rPr>
          <w:rFonts w:hint="eastAsia" w:ascii="FangSong_GB2312" w:hAnsi="仿宋" w:eastAsia="FangSong_GB2312" w:cs="仿宋"/>
          <w:sz w:val="32"/>
          <w:szCs w:val="32"/>
          <w:lang w:eastAsia="zh-CN"/>
        </w:rPr>
        <w:t>编制</w:t>
      </w:r>
      <w:r>
        <w:rPr>
          <w:rFonts w:hint="eastAsia" w:ascii="FangSong_GB2312" w:hAnsi="仿宋" w:eastAsia="FangSong_GB2312" w:cs="仿宋"/>
          <w:sz w:val="32"/>
          <w:szCs w:val="32"/>
        </w:rPr>
        <w:t>不够精细化，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绩效评价指标体系还不够完善、合理，个性指标在标准设计上存在难度，导致评价内容不够全面，难以满足不同层面和不同性质的绩效评价需求。</w:t>
      </w:r>
    </w:p>
    <w:p>
      <w:pPr>
        <w:shd w:val="clear" w:color="auto" w:fill="FFFFFF"/>
        <w:spacing w:after="120" w:line="600" w:lineRule="exact"/>
        <w:ind w:firstLine="640" w:firstLineChars="200"/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2、绩效评价管理制度尚不健全。办公室还尚未制定相关的管理办法和实施细则，绩效评价开展缺乏强有力的制度保障</w:t>
      </w:r>
      <w:r>
        <w:rPr>
          <w:rFonts w:hint="eastAsia" w:ascii="FangSong_GB2312" w:hAnsi="仿宋" w:eastAsia="FangSong_GB2312" w:cs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FangSong_GB2312" w:hAnsi="仿宋" w:eastAsia="FangSong_GB2312" w:cs="仿宋"/>
          <w:sz w:val="32"/>
          <w:szCs w:val="32"/>
          <w:lang w:val="en-US" w:eastAsia="zh-CN" w:bidi="ar-SA"/>
        </w:rPr>
      </w:pPr>
      <w:r>
        <w:rPr>
          <w:rFonts w:hint="eastAsia" w:ascii="FangSong_GB2312" w:hAnsi="仿宋" w:eastAsia="FangSong_GB2312" w:cs="仿宋"/>
          <w:sz w:val="32"/>
          <w:szCs w:val="32"/>
          <w:lang w:val="en-US" w:eastAsia="zh-CN" w:bidi="ar-SA"/>
        </w:rPr>
        <w:t>3、对绩效评价工作的认识不够。相关项目职责部门配合不够，绩效评价工作资料非常有限，内容粗浅。大多数时候只能借用工作计划，工作总结等做为绩效自评报告的主要内容。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FangSong_GB2312" w:hAnsi="仿宋" w:eastAsia="FangSong_GB2312" w:cs="仿宋"/>
          <w:sz w:val="32"/>
          <w:szCs w:val="32"/>
          <w:lang w:val="en-US" w:eastAsia="zh-CN" w:bidi="ar-SA"/>
        </w:rPr>
      </w:pPr>
      <w:r>
        <w:rPr>
          <w:rFonts w:hint="eastAsia" w:ascii="FangSong_GB2312" w:hAnsi="仿宋" w:eastAsia="FangSong_GB2312" w:cs="仿宋"/>
          <w:sz w:val="32"/>
          <w:szCs w:val="32"/>
          <w:lang w:val="en-US" w:eastAsia="zh-CN" w:bidi="ar-SA"/>
        </w:rPr>
        <w:t>4、人员素质有待进一步提高。由于预算绩效管理工作开展时间短，涉及面广，专业性强，加上缺乏系统的培训，单位对预算绩效管理理解不充分，对预算绩效管理业务不精通，在一定程度上影响了绩效评价工作质量，导致</w:t>
      </w:r>
      <w:r>
        <w:rPr>
          <w:rFonts w:hint="eastAsia" w:ascii="FangSong_GB2312" w:hAnsi="仿宋" w:eastAsia="FangSong_GB2312" w:cs="仿宋"/>
          <w:sz w:val="32"/>
          <w:szCs w:val="32"/>
        </w:rPr>
        <w:t>绩效目标设立不够细化、量化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 w:bidi="ar-SA"/>
        </w:rPr>
        <w:t>。</w:t>
      </w:r>
    </w:p>
    <w:p>
      <w:pPr>
        <w:spacing w:after="120" w:line="600" w:lineRule="exact"/>
        <w:ind w:firstLine="640" w:firstLineChars="200"/>
        <w:rPr>
          <w:rFonts w:ascii="方正大标宋简体" w:hAnsi="仿宋" w:eastAsia="方正大标宋简体" w:cs="仿宋"/>
          <w:bCs/>
          <w:sz w:val="32"/>
          <w:szCs w:val="32"/>
        </w:rPr>
      </w:pPr>
      <w:r>
        <w:rPr>
          <w:rFonts w:hint="eastAsia" w:ascii="方正大标宋简体" w:hAnsi="仿宋" w:eastAsia="方正大标宋简体" w:cs="仿宋"/>
          <w:bCs/>
          <w:sz w:val="32"/>
          <w:szCs w:val="32"/>
        </w:rPr>
        <w:t>八、下一步改进措施</w:t>
      </w:r>
      <w:r>
        <w:rPr>
          <w:rFonts w:ascii="方正大标宋简体" w:hAnsi="仿宋" w:eastAsia="方正大标宋简体" w:cs="仿宋"/>
          <w:bCs/>
          <w:sz w:val="32"/>
          <w:szCs w:val="32"/>
        </w:rPr>
        <w:tab/>
      </w:r>
    </w:p>
    <w:p>
      <w:pPr>
        <w:spacing w:after="120" w:line="600" w:lineRule="exact"/>
        <w:ind w:firstLine="640" w:firstLineChars="200"/>
        <w:rPr>
          <w:rFonts w:ascii="FangSong_GB2312" w:hAnsi="仿宋" w:eastAsia="FangSong_GB2312" w:cs="仿宋"/>
          <w:sz w:val="32"/>
          <w:szCs w:val="32"/>
        </w:rPr>
      </w:pPr>
      <w:r>
        <w:rPr>
          <w:rFonts w:hint="eastAsia" w:ascii="FangSong_GB2312" w:hAnsi="仿宋" w:eastAsia="FangSong_GB2312" w:cs="仿宋"/>
          <w:sz w:val="32"/>
          <w:szCs w:val="32"/>
        </w:rPr>
        <w:t>１、科学、准确地细化预算，完善预算审核机制，做到预算合理、不留缺口、不留空项</w:t>
      </w:r>
      <w:r>
        <w:rPr>
          <w:rFonts w:hint="eastAsia" w:ascii="FangSong_GB2312" w:hAnsi="仿宋" w:eastAsia="FangSong_GB2312" w:cs="仿宋"/>
          <w:sz w:val="32"/>
          <w:szCs w:val="32"/>
          <w:lang w:eastAsia="zh-CN"/>
        </w:rPr>
        <w:t>，绩效评估指标设立更加合理、精准</w:t>
      </w:r>
      <w:r>
        <w:rPr>
          <w:rFonts w:hint="eastAsia" w:ascii="FangSong_GB2312" w:hAnsi="仿宋" w:eastAsia="FangSong_GB2312" w:cs="仿宋"/>
          <w:sz w:val="32"/>
          <w:szCs w:val="32"/>
        </w:rPr>
        <w:t>。</w:t>
      </w:r>
    </w:p>
    <w:p>
      <w:pPr>
        <w:shd w:val="clear" w:color="auto" w:fill="FFFFFF"/>
        <w:spacing w:after="120" w:line="600" w:lineRule="exact"/>
        <w:ind w:firstLine="640" w:firstLineChars="200"/>
        <w:rPr>
          <w:rFonts w:hint="eastAsia" w:ascii="FangSong_GB2312" w:hAnsi="仿宋" w:eastAsia="FangSong_GB2312" w:cs="仿宋"/>
          <w:sz w:val="32"/>
          <w:szCs w:val="32"/>
          <w:lang w:eastAsia="zh-CN"/>
        </w:rPr>
      </w:pPr>
      <w:r>
        <w:rPr>
          <w:rFonts w:hint="eastAsia" w:ascii="FangSong_GB2312" w:hAnsi="仿宋" w:eastAsia="FangSong_GB2312" w:cs="仿宋"/>
          <w:sz w:val="32"/>
          <w:szCs w:val="32"/>
        </w:rPr>
        <w:t>２、完善</w:t>
      </w:r>
      <w:r>
        <w:rPr>
          <w:rFonts w:hint="eastAsia" w:ascii="FangSong_GB2312" w:hAnsi="仿宋" w:eastAsia="FangSong_GB2312" w:cs="仿宋"/>
          <w:sz w:val="32"/>
          <w:szCs w:val="32"/>
          <w:lang w:eastAsia="zh-CN"/>
        </w:rPr>
        <w:t>落实单位内部相关管理制度</w:t>
      </w:r>
      <w:r>
        <w:rPr>
          <w:rFonts w:hint="eastAsia" w:ascii="FangSong_GB2312" w:hAnsi="仿宋" w:eastAsia="FangSong_GB2312" w:cs="仿宋"/>
          <w:sz w:val="32"/>
          <w:szCs w:val="32"/>
        </w:rPr>
        <w:t>，进一步加强单位内部的</w:t>
      </w:r>
      <w:r>
        <w:rPr>
          <w:rFonts w:hint="eastAsia" w:ascii="FangSong_GB2312" w:hAnsi="仿宋" w:eastAsia="FangSong_GB2312" w:cs="仿宋"/>
          <w:sz w:val="32"/>
          <w:szCs w:val="32"/>
          <w:lang w:eastAsia="zh-CN"/>
        </w:rPr>
        <w:t>绩效评估</w:t>
      </w:r>
      <w:r>
        <w:rPr>
          <w:rFonts w:hint="eastAsia" w:ascii="FangSong_GB2312" w:hAnsi="仿宋" w:eastAsia="FangSong_GB2312" w:cs="仿宋"/>
          <w:sz w:val="32"/>
          <w:szCs w:val="32"/>
        </w:rPr>
        <w:t>工作，提高各股室人员</w:t>
      </w:r>
      <w:r>
        <w:rPr>
          <w:rFonts w:hint="eastAsia" w:ascii="FangSong_GB2312" w:hAnsi="仿宋" w:eastAsia="FangSong_GB2312" w:cs="仿宋"/>
          <w:sz w:val="32"/>
          <w:szCs w:val="32"/>
          <w:lang w:eastAsia="zh-CN"/>
        </w:rPr>
        <w:t>相关责任</w:t>
      </w:r>
      <w:r>
        <w:rPr>
          <w:rFonts w:hint="eastAsia" w:ascii="FangSong_GB2312" w:hAnsi="仿宋" w:eastAsia="FangSong_GB2312" w:cs="仿宋"/>
          <w:sz w:val="32"/>
          <w:szCs w:val="32"/>
        </w:rPr>
        <w:t>意识</w:t>
      </w:r>
      <w:r>
        <w:rPr>
          <w:rFonts w:hint="eastAsia" w:ascii="FangSong_GB2312" w:hAnsi="仿宋" w:eastAsia="FangSong_GB2312" w:cs="仿宋"/>
          <w:sz w:val="32"/>
          <w:szCs w:val="32"/>
          <w:lang w:eastAsia="zh-CN"/>
        </w:rPr>
        <w:t>。</w:t>
      </w:r>
    </w:p>
    <w:p>
      <w:pPr>
        <w:shd w:val="clear" w:color="auto" w:fill="FFFFFF"/>
        <w:spacing w:after="120" w:line="600" w:lineRule="exact"/>
        <w:ind w:firstLine="640" w:firstLineChars="200"/>
        <w:rPr>
          <w:rFonts w:ascii="FangSong_GB2312" w:hAnsi="仿宋" w:eastAsia="FangSong_GB2312" w:cs="仿宋"/>
          <w:sz w:val="32"/>
          <w:szCs w:val="32"/>
        </w:rPr>
      </w:pPr>
      <w:r>
        <w:rPr>
          <w:rFonts w:hint="eastAsia" w:ascii="FangSong_GB2312" w:hAnsi="仿宋" w:eastAsia="FangSong_GB2312" w:cs="仿宋"/>
          <w:sz w:val="32"/>
          <w:szCs w:val="32"/>
        </w:rPr>
        <w:t>3、加强相关部门经办人员的业务培训，推进绩效评估工作的开展。</w:t>
      </w:r>
    </w:p>
    <w:p>
      <w:pPr>
        <w:spacing w:after="120" w:line="600" w:lineRule="exact"/>
        <w:ind w:firstLine="640" w:firstLineChars="200"/>
        <w:rPr>
          <w:rFonts w:ascii="方正大标宋简体" w:hAnsi="仿宋" w:eastAsia="方正大标宋简体" w:cs="仿宋"/>
          <w:bCs/>
          <w:sz w:val="32"/>
          <w:szCs w:val="32"/>
        </w:rPr>
      </w:pPr>
      <w:r>
        <w:rPr>
          <w:rFonts w:hint="eastAsia" w:ascii="方正大标宋简体" w:hAnsi="仿宋" w:eastAsia="方正大标宋简体" w:cs="仿宋"/>
          <w:bCs/>
          <w:sz w:val="32"/>
          <w:szCs w:val="32"/>
        </w:rPr>
        <w:t>九、其他需要说明的情况</w:t>
      </w:r>
    </w:p>
    <w:p>
      <w:pPr>
        <w:spacing w:after="120"/>
        <w:ind w:firstLine="640" w:firstLineChars="200"/>
        <w:rPr>
          <w:rFonts w:ascii="FangSong_GB2312" w:hAnsi="仿宋" w:eastAsia="FangSong_GB2312" w:cs="仿宋"/>
          <w:sz w:val="32"/>
          <w:szCs w:val="32"/>
        </w:rPr>
      </w:pPr>
      <w:r>
        <w:rPr>
          <w:rFonts w:hint="eastAsia" w:ascii="FangSong_GB2312" w:hAnsi="仿宋" w:eastAsia="FangSong_GB2312" w:cs="仿宋"/>
          <w:sz w:val="32"/>
          <w:szCs w:val="32"/>
        </w:rPr>
        <w:t>无</w:t>
      </w:r>
    </w:p>
    <w:p>
      <w:pPr>
        <w:spacing w:after="120"/>
      </w:pPr>
    </w:p>
    <w:p>
      <w:pPr>
        <w:spacing w:after="120" w:line="220" w:lineRule="atLeast"/>
      </w:pPr>
    </w:p>
    <w:sectPr>
      <w:pgSz w:w="11906" w:h="16838"/>
      <w:pgMar w:top="468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jQwYWNiMTMwNTI3MTM0YzRkN2I3YTlhYWRkODUwNzUifQ=="/>
  </w:docVars>
  <w:rsids>
    <w:rsidRoot w:val="00D31D50"/>
    <w:rsid w:val="00064813"/>
    <w:rsid w:val="000831BC"/>
    <w:rsid w:val="00097A7E"/>
    <w:rsid w:val="000B3E9D"/>
    <w:rsid w:val="000C1660"/>
    <w:rsid w:val="000F615B"/>
    <w:rsid w:val="001170CF"/>
    <w:rsid w:val="001251A4"/>
    <w:rsid w:val="0015487B"/>
    <w:rsid w:val="00166F7F"/>
    <w:rsid w:val="001748C8"/>
    <w:rsid w:val="001C1595"/>
    <w:rsid w:val="00275E85"/>
    <w:rsid w:val="002B0696"/>
    <w:rsid w:val="002C59C1"/>
    <w:rsid w:val="00323B43"/>
    <w:rsid w:val="00345978"/>
    <w:rsid w:val="003B5C1D"/>
    <w:rsid w:val="003D37D8"/>
    <w:rsid w:val="0040236A"/>
    <w:rsid w:val="00426133"/>
    <w:rsid w:val="004358AB"/>
    <w:rsid w:val="004D4FA4"/>
    <w:rsid w:val="00507CC9"/>
    <w:rsid w:val="0053778C"/>
    <w:rsid w:val="00556EB9"/>
    <w:rsid w:val="005677CF"/>
    <w:rsid w:val="005B5869"/>
    <w:rsid w:val="006237DF"/>
    <w:rsid w:val="00645A91"/>
    <w:rsid w:val="00685D57"/>
    <w:rsid w:val="006C6D4D"/>
    <w:rsid w:val="006D12F7"/>
    <w:rsid w:val="006D13CA"/>
    <w:rsid w:val="00704CC6"/>
    <w:rsid w:val="007D652C"/>
    <w:rsid w:val="008200B9"/>
    <w:rsid w:val="00821976"/>
    <w:rsid w:val="008B0815"/>
    <w:rsid w:val="008B7726"/>
    <w:rsid w:val="008F24D1"/>
    <w:rsid w:val="00910F9D"/>
    <w:rsid w:val="00997FA3"/>
    <w:rsid w:val="009D7ADF"/>
    <w:rsid w:val="00A37D3E"/>
    <w:rsid w:val="00A70B98"/>
    <w:rsid w:val="00AB3E15"/>
    <w:rsid w:val="00AF051F"/>
    <w:rsid w:val="00B31EA8"/>
    <w:rsid w:val="00BD1F54"/>
    <w:rsid w:val="00C01D00"/>
    <w:rsid w:val="00C03E33"/>
    <w:rsid w:val="00C66BBB"/>
    <w:rsid w:val="00CF268D"/>
    <w:rsid w:val="00D1065E"/>
    <w:rsid w:val="00D31D50"/>
    <w:rsid w:val="00D548B5"/>
    <w:rsid w:val="00D70936"/>
    <w:rsid w:val="00D85CEC"/>
    <w:rsid w:val="00DB4B2E"/>
    <w:rsid w:val="00EC61F1"/>
    <w:rsid w:val="00ED279F"/>
    <w:rsid w:val="00EE2F57"/>
    <w:rsid w:val="00EF06ED"/>
    <w:rsid w:val="00FE673B"/>
    <w:rsid w:val="02E95D18"/>
    <w:rsid w:val="0D2B5FDE"/>
    <w:rsid w:val="280276BA"/>
    <w:rsid w:val="2CC26347"/>
    <w:rsid w:val="314D6483"/>
    <w:rsid w:val="36E763F9"/>
    <w:rsid w:val="3F3565D4"/>
    <w:rsid w:val="420F587D"/>
    <w:rsid w:val="48783354"/>
    <w:rsid w:val="4ADF76BB"/>
    <w:rsid w:val="5AFF46FB"/>
    <w:rsid w:val="5DAF116F"/>
    <w:rsid w:val="732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513"/>
        <w:tab w:val="right" w:pos="902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 w:val="0"/>
      <w:adjustRightInd/>
      <w:snapToGrid/>
      <w:spacing w:after="0"/>
    </w:pPr>
    <w:rPr>
      <w:rFonts w:ascii="微软雅黑" w:hAnsi="微软雅黑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1848</Words>
  <Characters>1891</Characters>
  <Lines>10</Lines>
  <Paragraphs>2</Paragraphs>
  <TotalTime>2</TotalTime>
  <ScaleCrop>false</ScaleCrop>
  <LinksUpToDate>false</LinksUpToDate>
  <CharactersWithSpaces>1956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2023-09-22T00:38:00Z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FC2E006C89144AE8A37762C09FDADFA5</vt:lpwstr>
  </property>
</Properties>
</file>