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辰溪县信访局</w:t>
      </w:r>
      <w:r>
        <w:rPr>
          <w:rFonts w:ascii="黑体" w:hAnsi="黑体" w:eastAsia="黑体" w:cs="宋体"/>
          <w:bCs/>
          <w:sz w:val="44"/>
          <w:szCs w:val="44"/>
        </w:rPr>
        <w:t>202</w:t>
      </w:r>
      <w:r>
        <w:rPr>
          <w:rFonts w:hint="eastAsia" w:ascii="黑体" w:hAnsi="黑体" w:eastAsia="黑体" w:cs="宋体"/>
          <w:bCs/>
          <w:sz w:val="44"/>
          <w:szCs w:val="44"/>
        </w:rPr>
        <w:t>1年度整体支出绩效自评</w:t>
      </w:r>
    </w:p>
    <w:p>
      <w:pPr>
        <w:shd w:val="clear" w:color="auto" w:fill="FFFFFF"/>
        <w:jc w:val="center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报</w:t>
      </w:r>
      <w:r>
        <w:rPr>
          <w:rFonts w:ascii="黑体" w:hAnsi="黑体" w:eastAsia="黑体" w:cs="宋体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宋体"/>
          <w:bCs/>
          <w:sz w:val="44"/>
          <w:szCs w:val="44"/>
        </w:rPr>
        <w:t>告</w:t>
      </w:r>
    </w:p>
    <w:p>
      <w:pPr>
        <w:spacing w:after="120" w:line="600" w:lineRule="exact"/>
        <w:ind w:firstLine="640" w:firstLineChars="200"/>
        <w:rPr>
          <w:rFonts w:hint="eastAsia" w:ascii="方正大标宋简体" w:hAnsi="仿宋" w:eastAsia="方正大标宋简体" w:cs="仿宋"/>
          <w:bCs/>
          <w:sz w:val="32"/>
          <w:szCs w:val="32"/>
          <w:lang w:val="en-US" w:eastAsia="zh-CN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一、单位基本概况</w:t>
      </w:r>
      <w:r>
        <w:rPr>
          <w:rFonts w:hint="eastAsia" w:ascii="方正大标宋简体" w:hAnsi="仿宋" w:eastAsia="方正大标宋简体" w:cs="仿宋"/>
          <w:bCs/>
          <w:sz w:val="32"/>
          <w:szCs w:val="32"/>
          <w:lang w:val="en-US" w:eastAsia="zh-CN"/>
        </w:rPr>
        <w:t xml:space="preserve"> </w:t>
      </w:r>
    </w:p>
    <w:p>
      <w:pPr>
        <w:spacing w:after="120" w:line="600" w:lineRule="exact"/>
        <w:ind w:firstLine="640" w:firstLineChars="200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（一）部门职能职责</w:t>
      </w:r>
    </w:p>
    <w:p>
      <w:pPr>
        <w:widowControl/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县信访局是为县委、县人民政府主管信访工作的机构，是县人民政府组成工作部门，主要职责是：</w:t>
      </w:r>
    </w:p>
    <w:p>
      <w:pPr>
        <w:widowControl/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负责处理人民群众给县委、县人民政府的来信（含网上信访），接待群众上访，为领导同志接待上访群众做好组织服务工作；综合分析信访信息，及时、准确地向县委、县人民政府领导同志反映来信来访中提出的重要建议、意见和问题，保证信访渠道畅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，负责县级领导包案处理信访问题的服务保障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>
      <w:pPr>
        <w:widowControl/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承办上级信访部门和县委、县人民政府领导同志交办、转办的信访事项，督促检查领导同志批示件的落实情况；向各乡镇和县直各部门交办信访事项，督促检查重要信访事项的处理和落实。</w:t>
      </w:r>
    </w:p>
    <w:p>
      <w:pPr>
        <w:widowControl/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协调处理跨地区、跨部门的重大信访问题；协调处理群众集体来县到市赴省进京上访和异常、突发性信事件；督促、协调县直各部门和各乡镇的信访工作。</w:t>
      </w:r>
    </w:p>
    <w:p>
      <w:pPr>
        <w:widowControl/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拟定全县有关信访工作的政策和法律、法规，并负责组织实施；负责全县信访系统的法治建设。</w:t>
      </w:r>
    </w:p>
    <w:p>
      <w:pPr>
        <w:widowControl/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指导全县信访业务，总结推广信访工作经验，提出改进和加强信访工作的意见和建议。</w:t>
      </w:r>
    </w:p>
    <w:p>
      <w:pPr>
        <w:widowControl/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了解并掌握全县信访工作队伍建设情况，提出加强各乡镇和县直各部门信访队伍建设措施；组织全县信访干部的培训；指导各乡镇和县直各部门信访工作办公自动化和信息化建设。</w:t>
      </w:r>
    </w:p>
    <w:p>
      <w:pPr>
        <w:widowControl/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负责信访工作的调研宣传和信息报送等工作。</w:t>
      </w:r>
    </w:p>
    <w:p>
      <w:pPr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责驻长劝返和驻京劝返的联络工作，承担县信访联席会议办公室的日常工作，督促落实县信访联席会议决定的事项。</w:t>
      </w:r>
    </w:p>
    <w:p>
      <w:pPr>
        <w:widowControl/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承办县委、县人民政府及县委办、政府办交办的其他事项。</w:t>
      </w:r>
    </w:p>
    <w:p>
      <w:pPr>
        <w:spacing w:after="120" w:line="600" w:lineRule="exact"/>
        <w:ind w:firstLine="640" w:firstLineChars="200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（二）机构设置及人员编制情况</w:t>
      </w:r>
    </w:p>
    <w:p>
      <w:pPr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2021年末，实有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在编在岗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人，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提前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退休人员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1人，正式退休4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人；设置办公室（办信室）、接访室、综合督查室、网络投诉中心。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二、一般公共预算支出情况</w:t>
      </w:r>
    </w:p>
    <w:p>
      <w:pPr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2021年一般公共预算财政拨款支出决算总额为312.5万元，全部为基本支出。其中：人员经费238.81万元，占基本支出的76.42%，主要包括基本工资、津贴补贴、奖金、伙食补助、绩效工资、机关事业养老缴费、职业年金缴费、职工医疗保险缴费、其他社会保障缴费、其他工资福利支出、对个人和家庭补助；公用经费73.69万元，占基本支出的23.58%，主要包括办公费、印刷费、差旅费、邮电费、公务接待费、劳务费、委托业务费、工会经费、其他交通费、其他商品和服务支出、资本性支出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三、政府性基金预算支出情况</w:t>
      </w:r>
    </w:p>
    <w:p>
      <w:pPr>
        <w:shd w:val="clear" w:color="auto" w:fill="FFFFFF"/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2021年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度本部门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没有政府性基金预算收支。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四、国有资本经营预算支出情况</w:t>
      </w:r>
    </w:p>
    <w:p>
      <w:pPr>
        <w:shd w:val="clear" w:color="auto" w:fill="FFFFFF"/>
        <w:spacing w:after="120" w:line="600" w:lineRule="exact"/>
        <w:ind w:firstLine="60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2021年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度本部门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没有国有资本经营预算收支。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五、社会保险基金预算支出情况</w:t>
      </w:r>
    </w:p>
    <w:p>
      <w:pPr>
        <w:shd w:val="clear" w:color="auto" w:fill="FFFFFF"/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2021年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度本部门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没有社会保险基金预算收支。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六、部门整体支出绩效情况</w:t>
      </w:r>
    </w:p>
    <w:p>
      <w:pPr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（一）部门整体支出绩效目标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主要包括县级财政或上级主管部门绩效考核的个性指标、预决算公开、资产管理、三公经费控制、内部管理制度建设等的设定及完成情况,项目绩效总目标和阶段性目标完成情况及预期经济、社会效益等。</w:t>
      </w:r>
    </w:p>
    <w:p>
      <w:pPr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（二）严格执行预决算公开,严格按县财政局的要求,对部门预决算在网上按时间结点及时进行公开,接受社会各方的监督。</w:t>
      </w:r>
    </w:p>
    <w:p>
      <w:pPr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（三）全面加强国有资产管理,推进资产管理与预算管理、财务管理相结合。根据有关文件精神,加强对国有资产的管理,并实行专人管理，建立台账，及时入账。</w:t>
      </w:r>
    </w:p>
    <w:p>
      <w:pPr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（四）三公经费控制及制度建设情况:一是严格控制“三公经费”管理,严格公务接待,规范接待标准。制定了《辰溪县信访局内部控制制度》,并严格按制度执行,确保各项经费的使用规范和使用效益。</w:t>
      </w:r>
    </w:p>
    <w:p>
      <w:pPr>
        <w:spacing w:after="120" w:line="600" w:lineRule="exact"/>
        <w:ind w:firstLine="640" w:firstLineChars="200"/>
        <w:rPr>
          <w:rFonts w:hint="eastAsia"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七、存在的主要问题</w:t>
      </w:r>
    </w:p>
    <w:p>
      <w:pPr>
        <w:shd w:val="clear" w:color="auto" w:fill="FFFFFF"/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1、单位各股室预算不够精细化，单位预算编制的合理性需要提高，预算执行力度还要进一步加强。</w:t>
      </w:r>
    </w:p>
    <w:p>
      <w:pPr>
        <w:shd w:val="clear" w:color="auto" w:fill="FFFFFF"/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2、固定资产管理存在不完善的现象。</w:t>
      </w:r>
    </w:p>
    <w:p>
      <w:pPr>
        <w:shd w:val="clear" w:color="auto" w:fill="FFFFFF"/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3、绩效目标设立不够细化、量化。</w:t>
      </w:r>
    </w:p>
    <w:p>
      <w:pPr>
        <w:spacing w:after="120" w:line="600" w:lineRule="exact"/>
        <w:ind w:firstLine="640" w:firstLineChars="200"/>
        <w:rPr>
          <w:rFonts w:hint="eastAsia"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八、下一步改进措施</w:t>
      </w:r>
      <w:r>
        <w:rPr>
          <w:rFonts w:hint="eastAsia" w:ascii="方正大标宋简体" w:hAnsi="仿宋" w:eastAsia="方正大标宋简体" w:cs="仿宋"/>
          <w:bCs/>
          <w:sz w:val="32"/>
          <w:szCs w:val="32"/>
        </w:rPr>
        <w:tab/>
      </w:r>
    </w:p>
    <w:p>
      <w:pPr>
        <w:shd w:val="clear" w:color="auto" w:fill="FFFFFF"/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１、科学、准确地细化预算，完善预算审核机制，做到预算合理、不留缺口、不留空项。</w:t>
      </w:r>
    </w:p>
    <w:p>
      <w:pPr>
        <w:shd w:val="clear" w:color="auto" w:fill="FFFFFF"/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２、完善固定资产管理，进一步规范相关制度，加强单位内部的固定资产管理工作，提高各股室人员固定资产管理意识。</w:t>
      </w:r>
    </w:p>
    <w:p>
      <w:pPr>
        <w:shd w:val="clear" w:color="auto" w:fill="FFFFFF"/>
        <w:spacing w:after="120" w:line="6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3、加强相关部门经办人员的业务培训，推进绩效评估工作的开展。</w:t>
      </w:r>
    </w:p>
    <w:p>
      <w:pPr>
        <w:spacing w:after="120" w:line="600" w:lineRule="exact"/>
        <w:ind w:firstLine="640" w:firstLineChars="200"/>
        <w:rPr>
          <w:rFonts w:hint="eastAsia"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九、其他需要说明的情况</w:t>
      </w:r>
    </w:p>
    <w:p>
      <w:pPr>
        <w:spacing w:after="120"/>
        <w:ind w:firstLine="60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YWNiMTMwNTI3MTM0YzRkN2I3YTlhYWRkODUwNzUifQ=="/>
  </w:docVars>
  <w:rsids>
    <w:rsidRoot w:val="00000000"/>
    <w:rsid w:val="056C5A14"/>
    <w:rsid w:val="0F763FE3"/>
    <w:rsid w:val="142B4CEC"/>
    <w:rsid w:val="35843EA3"/>
    <w:rsid w:val="4E0833CC"/>
    <w:rsid w:val="50AB003F"/>
    <w:rsid w:val="744A3547"/>
    <w:rsid w:val="77DC7456"/>
    <w:rsid w:val="7E0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1588</Words>
  <Characters>1630</Characters>
  <Lines>0</Lines>
  <Paragraphs>0</Paragraphs>
  <TotalTime>3</TotalTime>
  <ScaleCrop>false</ScaleCrop>
  <LinksUpToDate>false</LinksUpToDate>
  <CharactersWithSpaces>1634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2022-08-03T01:40:50Z</dcterms:created>
  <dc:creator>Administrator</dc:creator>
  <cp:lastModifiedBy>Administrator</cp:lastModifiedBy>
  <dcterms:modified xsi:type="dcterms:W3CDTF">2022-08-03T01:58:50Z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3B8835FA48454D0EA8CBDF1018A0C9F5</vt:lpwstr>
  </property>
</Properties>
</file>