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sz w:val="24"/>
        </w:rPr>
      </w:pPr>
      <w:bookmarkStart w:id="0" w:name="_GoBack"/>
      <w:bookmarkEnd w:id="0"/>
    </w:p>
    <w:p>
      <w:pPr>
        <w:widowControl/>
        <w:spacing w:line="640" w:lineRule="exact"/>
        <w:jc w:val="center"/>
        <w:rPr>
          <w:rFonts w:hint="eastAsia" w:ascii="黑体" w:hAnsi="黑体" w:eastAsia="黑体" w:cs="黑体"/>
          <w:bCs/>
          <w:sz w:val="44"/>
        </w:rPr>
      </w:pPr>
      <w:r>
        <w:rPr>
          <w:rFonts w:hint="eastAsia" w:ascii="黑体" w:hAnsi="黑体" w:eastAsia="黑体" w:cs="黑体"/>
          <w:bCs/>
          <w:sz w:val="44"/>
        </w:rPr>
        <w:t>2023年度</w:t>
      </w:r>
      <w:r>
        <w:rPr>
          <w:rFonts w:hint="eastAsia" w:ascii="黑体" w:hAnsi="黑体" w:eastAsia="黑体" w:cs="黑体"/>
          <w:bCs/>
          <w:sz w:val="44"/>
          <w:lang w:val="en-US" w:eastAsia="zh-CN"/>
        </w:rPr>
        <w:t>辰溪县城市管理和综合执法局</w:t>
      </w:r>
      <w:r>
        <w:rPr>
          <w:rFonts w:hint="eastAsia" w:ascii="黑体" w:hAnsi="黑体" w:eastAsia="黑体" w:cs="黑体"/>
          <w:bCs/>
          <w:sz w:val="44"/>
        </w:rPr>
        <w:t>部门整体支出绩效自评报告</w:t>
      </w:r>
    </w:p>
    <w:p>
      <w:pPr>
        <w:spacing w:line="600" w:lineRule="exact"/>
        <w:jc w:val="center"/>
        <w:rPr>
          <w:sz w:val="24"/>
        </w:rPr>
      </w:pPr>
    </w:p>
    <w:p>
      <w:pPr>
        <w:spacing w:line="600" w:lineRule="exact"/>
        <w:jc w:val="center"/>
        <w:rPr>
          <w:sz w:val="24"/>
        </w:rPr>
      </w:pPr>
    </w:p>
    <w:p>
      <w:pPr>
        <w:spacing w:line="600" w:lineRule="exact"/>
        <w:jc w:val="center"/>
        <w:rPr>
          <w:sz w:val="24"/>
        </w:rPr>
      </w:pPr>
    </w:p>
    <w:p>
      <w:pPr>
        <w:spacing w:line="600" w:lineRule="exact"/>
        <w:jc w:val="center"/>
        <w:rPr>
          <w:sz w:val="24"/>
        </w:rPr>
      </w:pPr>
    </w:p>
    <w:p>
      <w:pPr>
        <w:spacing w:line="600" w:lineRule="exact"/>
        <w:jc w:val="center"/>
        <w:rPr>
          <w:sz w:val="24"/>
        </w:rPr>
      </w:pPr>
    </w:p>
    <w:p>
      <w:pPr>
        <w:spacing w:line="600" w:lineRule="exact"/>
        <w:jc w:val="center"/>
        <w:rPr>
          <w:sz w:val="24"/>
        </w:rPr>
      </w:pPr>
    </w:p>
    <w:p>
      <w:pPr>
        <w:spacing w:line="600" w:lineRule="exact"/>
        <w:jc w:val="center"/>
        <w:rPr>
          <w:sz w:val="24"/>
        </w:rPr>
      </w:pPr>
    </w:p>
    <w:p>
      <w:pPr>
        <w:spacing w:line="600" w:lineRule="exact"/>
        <w:jc w:val="center"/>
        <w:rPr>
          <w:sz w:val="24"/>
        </w:rPr>
      </w:pPr>
    </w:p>
    <w:p>
      <w:pPr>
        <w:spacing w:line="600" w:lineRule="exact"/>
        <w:jc w:val="center"/>
        <w:rPr>
          <w:sz w:val="24"/>
        </w:rPr>
      </w:pPr>
    </w:p>
    <w:p>
      <w:pPr>
        <w:spacing w:line="600" w:lineRule="exact"/>
        <w:rPr>
          <w:sz w:val="24"/>
        </w:rPr>
      </w:pPr>
    </w:p>
    <w:p>
      <w:pPr>
        <w:spacing w:line="600" w:lineRule="exact"/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部门（单位）名称：</w:t>
      </w:r>
      <w:r>
        <w:rPr>
          <w:rFonts w:hint="eastAsia"/>
          <w:sz w:val="32"/>
          <w:szCs w:val="32"/>
          <w:u w:val="single"/>
        </w:rPr>
        <w:t xml:space="preserve">（盖章）      </w:t>
      </w:r>
    </w:p>
    <w:p>
      <w:pPr>
        <w:spacing w:line="6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　　　年 　 月　  日</w:t>
      </w:r>
    </w:p>
    <w:p>
      <w:pPr>
        <w:spacing w:line="600" w:lineRule="exact"/>
        <w:jc w:val="center"/>
        <w:rPr>
          <w:sz w:val="24"/>
        </w:rPr>
      </w:pPr>
      <w:r>
        <w:rPr>
          <w:rFonts w:hint="eastAsia"/>
          <w:sz w:val="24"/>
        </w:rPr>
        <w:t>（此面为封面）</w:t>
      </w:r>
    </w:p>
    <w:p>
      <w:pPr>
        <w:spacing w:line="600" w:lineRule="exact"/>
        <w:jc w:val="center"/>
        <w:rPr>
          <w:rFonts w:hint="eastAsia" w:eastAsia="方正小标宋_GBK"/>
          <w:sz w:val="36"/>
          <w:szCs w:val="36"/>
        </w:rPr>
      </w:pPr>
    </w:p>
    <w:p>
      <w:pPr>
        <w:spacing w:line="600" w:lineRule="exact"/>
        <w:jc w:val="center"/>
        <w:rPr>
          <w:rFonts w:hint="eastAsia" w:eastAsia="方正小标宋_GBK"/>
          <w:sz w:val="36"/>
          <w:szCs w:val="36"/>
        </w:rPr>
      </w:pPr>
    </w:p>
    <w:p>
      <w:pPr>
        <w:spacing w:line="600" w:lineRule="exact"/>
        <w:jc w:val="center"/>
        <w:rPr>
          <w:rFonts w:hint="eastAsia" w:eastAsia="方正小标宋_GBK"/>
          <w:sz w:val="36"/>
          <w:szCs w:val="36"/>
        </w:rPr>
      </w:pPr>
    </w:p>
    <w:p>
      <w:pPr>
        <w:spacing w:line="600" w:lineRule="exact"/>
        <w:jc w:val="center"/>
        <w:rPr>
          <w:rFonts w:hint="eastAsia" w:eastAsia="方正小标宋_GBK"/>
          <w:sz w:val="36"/>
          <w:szCs w:val="36"/>
        </w:rPr>
      </w:pPr>
    </w:p>
    <w:p>
      <w:pPr>
        <w:rPr>
          <w:rFonts w:hint="eastAsia" w:ascii="黑体" w:hAnsi="黑体" w:eastAsia="黑体" w:cs="黑体"/>
          <w:bCs/>
          <w:sz w:val="44"/>
        </w:rPr>
      </w:pPr>
      <w:r>
        <w:rPr>
          <w:rFonts w:hint="eastAsia" w:ascii="黑体" w:hAnsi="黑体" w:eastAsia="黑体" w:cs="黑体"/>
          <w:bCs/>
          <w:sz w:val="44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黑体" w:hAnsi="黑体" w:eastAsia="黑体" w:cs="黑体"/>
          <w:bCs/>
          <w:sz w:val="44"/>
        </w:rPr>
      </w:pPr>
      <w:r>
        <w:rPr>
          <w:rFonts w:hint="eastAsia" w:ascii="黑体" w:hAnsi="黑体" w:eastAsia="黑体" w:cs="黑体"/>
          <w:bCs/>
          <w:sz w:val="44"/>
        </w:rPr>
        <w:t>2023年度辰溪县城市管理和综合执法局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黑体" w:hAnsi="黑体" w:eastAsia="黑体" w:cs="黑体"/>
          <w:bCs/>
          <w:sz w:val="44"/>
        </w:rPr>
      </w:pPr>
      <w:r>
        <w:rPr>
          <w:rFonts w:hint="eastAsia" w:ascii="黑体" w:hAnsi="黑体" w:eastAsia="黑体" w:cs="黑体"/>
          <w:bCs/>
          <w:sz w:val="44"/>
        </w:rPr>
        <w:t>部门整体支出绩效自评报告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黑体" w:hAnsi="黑体" w:eastAsia="黑体" w:cs="黑体"/>
          <w:bCs/>
          <w:sz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eastAsia="方正小标宋_GBK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为贯彻落实《中共中央国务院关于全面实施预算绩效管理的意见》（中发〔2018〕34号）、财政部《项目支出绩效评价管理办法》（财预〔2020〕10号）、《中共湖南省委办公厅　湖南省人民政府办公厅关于全面实施预算绩效管理的实施意见》（湘办发〔2019〕10号）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《辰溪县全面实施项目绩效管理的实施意见》（辰办发〔20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〕8号）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《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2023年度部门整体支出和项目支出绩效自评通知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》</w:t>
      </w:r>
      <w:r>
        <w:rPr>
          <w:rFonts w:hint="eastAsia" w:ascii="仿宋_GB2312"/>
          <w:color w:val="000000"/>
          <w:sz w:val="32"/>
          <w:szCs w:val="32"/>
          <w:lang w:eastAsia="zh-CN"/>
        </w:rPr>
        <w:t>（</w:t>
      </w:r>
      <w:r>
        <w:rPr>
          <w:rFonts w:ascii="仿宋" w:hAnsi="仿宋" w:eastAsia="仿宋"/>
          <w:spacing w:val="1"/>
          <w:sz w:val="32"/>
          <w:szCs w:val="32"/>
        </w:rPr>
        <w:t>辰财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〔20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〕</w:t>
      </w:r>
      <w:r>
        <w:rPr>
          <w:rFonts w:hint="eastAsia" w:ascii="仿宋" w:hAnsi="仿宋" w:eastAsia="仿宋"/>
          <w:spacing w:val="1"/>
          <w:sz w:val="32"/>
          <w:szCs w:val="32"/>
        </w:rPr>
        <w:t>55</w:t>
      </w:r>
      <w:r>
        <w:rPr>
          <w:rFonts w:hint="eastAsia" w:ascii="仿宋" w:hAnsi="仿宋" w:eastAsia="仿宋"/>
          <w:spacing w:val="1"/>
          <w:sz w:val="32"/>
          <w:szCs w:val="32"/>
          <w:lang w:val="en-US" w:eastAsia="zh-CN"/>
        </w:rPr>
        <w:t>号</w:t>
      </w:r>
      <w:r>
        <w:rPr>
          <w:rFonts w:hint="eastAsia" w:ascii="仿宋" w:hAnsi="仿宋" w:eastAsia="仿宋"/>
          <w:spacing w:val="1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等文件要求推进全过程绩效管理，压实支出责任，提高财政资金使用效益和管理水平，本单位成立了绩效自评工作小组，对202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年部门整体支出进行了绩效评价，现将评价情况报告如下：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firstLine="0" w:firstLineChars="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部门基本情况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ottom"/>
        <w:rPr>
          <w:rFonts w:hint="default" w:ascii="Times New Roman" w:hAnsi="Times New Roman" w:eastAsia="楷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bCs/>
          <w:kern w:val="2"/>
          <w:sz w:val="32"/>
          <w:szCs w:val="32"/>
          <w:lang w:val="en-US" w:eastAsia="zh-CN" w:bidi="ar-SA"/>
        </w:rPr>
        <w:t>（一）单位基本情况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ottom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1、单位职能职责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ottom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（1）贯彻执行国家、省、市、县有关城市管理行政执法方面的法律、法规和方针、政策。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ottom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（2）负责对城区城市管理和综合执法工作的组织领导、综合协调和监督检查，组织业务培训及业务考核。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ottom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（3）负责“智慧城市”数字城管平台的建设和管理。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ottom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（4）负责拟定全县城市管理发展规划并组织实施，制定全县城市管理容貌标准和环境卫生标准。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ottom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（5）负责行使县城规划区内临时占用和挖掘城市道路及公共场地、绿化地、城市排水设施、户外广告设置的监督管理工作。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ottom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（6）负责县城规划区范围内的城市市容、环境卫生、园林绿化、城市渣土的监督管理工作；负责城区垃圾的集中处置和垃圾处理场的监督管理。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ottom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（7）负责县城规划区范围内的市政公用设施的监督管理和维护工作；负责市政基础设施的一般性改造和扩建工作；参与编制城区市政工程设施规划、计划和市政工程竣工验收。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ottom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（8）负责本县城市规划区内城市管理综合执法。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ottom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9）负责编制城市市政维护管理方面资金年度使用计划和申报工作。管理城市维护建设资金及其他专项资金，检查监督各项资金的使用情况，依据界定的职能和法律、法规、规章、政策，负责各项规费及有关专项资金的征收、管理、使用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ottom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（10）完成县委、县政府交办的其他工作。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ottom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2、机构情况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ottom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内设机构包括：（1）办公室（人事财务装备股）；（2）政策法规股（行政审批服务股）；（3）综合管理股；（4）机关党组。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2023年末实际在职人数81人，其中行政人员7人，非参公事业人员74人。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ottom"/>
        <w:rPr>
          <w:rFonts w:hint="eastAsia" w:ascii="Times New Roman" w:hAnsi="Times New Roman" w:eastAsia="楷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bCs/>
          <w:kern w:val="2"/>
          <w:sz w:val="32"/>
          <w:szCs w:val="32"/>
          <w:lang w:val="en-US" w:eastAsia="zh-CN" w:bidi="ar-SA"/>
        </w:rPr>
        <w:t>部门整体收支情况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default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2023年度部门整体支出年初预算1309.78万元，年内调增518.65万元，合计安排1828.42万元。其中一般公共预算1309.78万元，政府性基金预算3.39万元（主要用于公共饮水点直饮水费），其他收入5万元（辰溪县疫情指挥部拨入疫情防控专项经费，用于疫情防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hint="eastAsia" w:ascii="仿宋_GB2312" w:hAnsi="Times New Roman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/>
          <w:bCs/>
          <w:color w:val="auto"/>
          <w:sz w:val="32"/>
          <w:szCs w:val="32"/>
          <w:lang w:val="en-US" w:eastAsia="zh-CN"/>
        </w:rPr>
        <w:t>2023年度决算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</w:rPr>
        <w:t>支出</w:t>
      </w:r>
      <w:r>
        <w:rPr>
          <w:rFonts w:hint="eastAsia" w:ascii="仿宋_GB2312"/>
          <w:bCs/>
          <w:color w:val="auto"/>
          <w:sz w:val="32"/>
          <w:szCs w:val="32"/>
          <w:lang w:val="en-US" w:eastAsia="zh-CN"/>
        </w:rPr>
        <w:t>1828.42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</w:rPr>
        <w:t>万元，</w:t>
      </w:r>
      <w:r>
        <w:rPr>
          <w:rFonts w:hint="eastAsia" w:ascii="仿宋_GB2312"/>
          <w:bCs/>
          <w:color w:val="auto"/>
          <w:sz w:val="32"/>
          <w:szCs w:val="32"/>
          <w:lang w:val="en-US" w:eastAsia="zh-CN"/>
        </w:rPr>
        <w:t>其中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</w:rPr>
        <w:t>基本支出</w:t>
      </w:r>
      <w:r>
        <w:rPr>
          <w:rFonts w:hint="eastAsia" w:ascii="仿宋_GB2312"/>
          <w:bCs/>
          <w:color w:val="auto"/>
          <w:sz w:val="32"/>
          <w:szCs w:val="32"/>
          <w:lang w:val="en-US" w:eastAsia="zh-CN"/>
        </w:rPr>
        <w:t>1391.90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</w:rPr>
        <w:t>万元，主要是为保障单位正常运转、完成日常工作任务而发生的各项支出，包括用于基本工资、津贴补贴等人员经费以及办公费、印刷费、水电费等公用经费。项目支出</w:t>
      </w:r>
      <w:r>
        <w:rPr>
          <w:rFonts w:hint="eastAsia" w:ascii="仿宋_GB2312"/>
          <w:bCs/>
          <w:color w:val="auto"/>
          <w:sz w:val="32"/>
          <w:szCs w:val="32"/>
          <w:lang w:val="en-US" w:eastAsia="zh-CN"/>
        </w:rPr>
        <w:t>436.52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</w:rPr>
        <w:t>万元，主要用于园林绿化养护项目</w:t>
      </w:r>
      <w:r>
        <w:rPr>
          <w:rFonts w:hint="eastAsia" w:ascii="仿宋_GB2312"/>
          <w:bCs/>
          <w:color w:val="auto"/>
          <w:sz w:val="32"/>
          <w:szCs w:val="32"/>
          <w:lang w:eastAsia="zh-CN"/>
        </w:rPr>
        <w:t>、“两违”整治、市容市貌专项整治、文明城市实地测评城区道路维修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等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</w:rPr>
        <w:t>工作。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firstLine="0" w:firstLineChars="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二、一般公共项目支出情况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2023年度一般公共项目年初预算1309.78万元，年内调增510.26万元，合计安排1820.04万元。决算支出1820.04万元，其中基本支出1391.90万元，项目支出428.14万元。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bottom"/>
        <w:rPr>
          <w:rFonts w:hint="eastAsia" w:ascii="Times New Roman" w:hAnsi="Times New Roman" w:eastAsia="楷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bCs/>
          <w:kern w:val="2"/>
          <w:sz w:val="32"/>
          <w:szCs w:val="32"/>
          <w:lang w:val="en-US" w:eastAsia="zh-CN" w:bidi="ar-SA"/>
        </w:rPr>
        <w:t>（一）基本支出情况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2023年基本支出年初预算1278.78万元，年内调增113.12万元，合计安排1391.90万元。决算支出1391.90万元，其中工资福利支出1100.47万元，对个人和家庭的补助9.22万元，商品和服务支出282.21万元。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877"/>
        <w:gridCol w:w="1056"/>
        <w:gridCol w:w="1207"/>
        <w:gridCol w:w="1212"/>
        <w:gridCol w:w="1208"/>
        <w:gridCol w:w="13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一般公共项目基本支出明细表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支出项目</w:t>
            </w:r>
          </w:p>
        </w:tc>
        <w:tc>
          <w:tcPr>
            <w:tcW w:w="19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7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决算数</w:t>
            </w:r>
          </w:p>
        </w:tc>
        <w:tc>
          <w:tcPr>
            <w:tcW w:w="7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本年调整数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7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1278.78 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113.12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1391.90 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1391.90 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1043.18 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57.29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1100.47 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1100.47 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9.22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9.22 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9.22 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235.60 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46.61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282.21 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282.21 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rPr>
          <w:rFonts w:hint="default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"/>
          <w:color w:val="auto"/>
          <w:sz w:val="21"/>
          <w:szCs w:val="21"/>
          <w:lang w:val="en-US" w:eastAsia="zh-CN"/>
        </w:rPr>
        <w:t>注：小数误差是由于四舍五入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bottom"/>
        <w:rPr>
          <w:rFonts w:hint="eastAsia" w:ascii="Times New Roman" w:hAnsi="Times New Roman" w:eastAsia="楷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bCs/>
          <w:kern w:val="2"/>
          <w:sz w:val="32"/>
          <w:szCs w:val="32"/>
          <w:lang w:val="en-US" w:eastAsia="zh-CN" w:bidi="ar-SA"/>
        </w:rPr>
        <w:t>（二）项目支出情况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2023年一般公共项目支出年初31.00万元，决算支出428.14万元，具体支出情况如下表：</w:t>
      </w:r>
    </w:p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6156"/>
        <w:gridCol w:w="13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一般公共项目支出表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支出项目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428.14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屈原公园购买服务前期工作费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园林绿化养护项目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城市管理综合治理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渣土管理费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“两违”整治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市容市貌专项整治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春节期间城区摆花、全城清洗、市政基础设施维护2021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沅水一桥防船舶碰撞标志标牌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城区市政桥梁安全运营检测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城管执法执勤车购置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辰溪县与沅陵、溆浦、麻阳、中方入城口设计及效果图费用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购置城管行政执法人员制式服装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东风大桥限高栏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先锋东路损坏路灯电缆维修更换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沅水大桥至人民医院扩宽工程市政基础设施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文明城市实地测评城区道路维修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环保专项整治经费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/>
          <w:color w:val="auto"/>
          <w:sz w:val="21"/>
          <w:szCs w:val="21"/>
          <w:lang w:val="en-US" w:eastAsia="zh-CN"/>
        </w:rPr>
        <w:t>注：小数误差是由于四舍五入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firstLine="0" w:firstLine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三、政府性基金项目支出情况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2023年度政府基金项目支出3.39万元，主要用于支付水费。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firstLine="0" w:firstLine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四、国有资本经营项目支出情况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2023年我单位无国有资本经营项目支出。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firstLine="0" w:firstLineChars="0"/>
        <w:jc w:val="lef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社会保险基金项目支出情况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2023年我单位无社会保险基金项目支出。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六、部门整体支出绩效情况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ottom"/>
        <w:rPr>
          <w:rFonts w:hint="eastAsia" w:ascii="Times New Roman" w:hAnsi="Times New Roman" w:eastAsia="楷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bCs/>
          <w:kern w:val="2"/>
          <w:sz w:val="32"/>
          <w:szCs w:val="32"/>
          <w:lang w:val="en-US" w:eastAsia="zh-CN" w:bidi="ar-SA"/>
        </w:rPr>
        <w:t>（一）以创建全国文明城市为抓手，系统提升城市管理水平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市容执法方面，</w:t>
      </w:r>
      <w:r>
        <w:rPr>
          <w:rFonts w:hint="eastAsia" w:ascii="仿宋" w:hAnsi="仿宋" w:eastAsia="仿宋" w:cs="仿宋"/>
          <w:sz w:val="32"/>
          <w:szCs w:val="32"/>
        </w:rPr>
        <w:t>全年出动执法人员13000余人次、车辆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</w:t>
      </w:r>
      <w:r>
        <w:rPr>
          <w:rFonts w:hint="eastAsia" w:ascii="仿宋" w:hAnsi="仿宋" w:eastAsia="仿宋" w:cs="仿宋"/>
          <w:sz w:val="32"/>
          <w:szCs w:val="32"/>
        </w:rPr>
        <w:t>00余台次，有效整治市容乱象。</w:t>
      </w:r>
      <w:r>
        <w:rPr>
          <w:rFonts w:hint="eastAsia" w:ascii="仿宋" w:hAnsi="仿宋" w:eastAsia="仿宋" w:cs="仿宋"/>
          <w:b/>
          <w:sz w:val="32"/>
          <w:szCs w:val="32"/>
        </w:rPr>
        <w:t>市政执法方面，</w:t>
      </w:r>
      <w:r>
        <w:rPr>
          <w:rFonts w:hint="eastAsia" w:ascii="仿宋" w:hAnsi="仿宋" w:eastAsia="仿宋" w:cs="仿宋"/>
          <w:sz w:val="32"/>
          <w:szCs w:val="32"/>
        </w:rPr>
        <w:t>全年出动执法人员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00余人次，车辆710余台次，检查点位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710</w:t>
      </w:r>
      <w:r>
        <w:rPr>
          <w:rFonts w:hint="eastAsia" w:ascii="仿宋" w:hAnsi="仿宋" w:eastAsia="仿宋" w:cs="仿宋"/>
          <w:sz w:val="32"/>
          <w:szCs w:val="32"/>
        </w:rPr>
        <w:t>余处次。</w:t>
      </w:r>
      <w:r>
        <w:rPr>
          <w:rFonts w:hint="eastAsia" w:ascii="仿宋" w:hAnsi="仿宋" w:eastAsia="仿宋" w:cs="仿宋"/>
          <w:b/>
          <w:sz w:val="32"/>
          <w:szCs w:val="32"/>
        </w:rPr>
        <w:t>规划执法方面，</w:t>
      </w:r>
      <w:r>
        <w:rPr>
          <w:rFonts w:hint="eastAsia" w:ascii="仿宋" w:hAnsi="仿宋" w:eastAsia="仿宋" w:cs="仿宋"/>
          <w:sz w:val="32"/>
          <w:szCs w:val="32"/>
        </w:rPr>
        <w:t>全年出动执法人员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 w:cs="仿宋"/>
          <w:sz w:val="32"/>
          <w:szCs w:val="32"/>
        </w:rPr>
        <w:t>00余人次、车辆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00余台次，检查点位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72</w:t>
      </w:r>
      <w:r>
        <w:rPr>
          <w:rFonts w:hint="eastAsia" w:ascii="仿宋" w:hAnsi="仿宋" w:eastAsia="仿宋" w:cs="仿宋"/>
          <w:sz w:val="32"/>
          <w:szCs w:val="32"/>
        </w:rPr>
        <w:t>0余处次。</w:t>
      </w:r>
      <w:r>
        <w:rPr>
          <w:rFonts w:hint="eastAsia" w:ascii="仿宋" w:hAnsi="仿宋" w:eastAsia="仿宋" w:cs="仿宋"/>
          <w:b/>
          <w:sz w:val="32"/>
          <w:szCs w:val="32"/>
        </w:rPr>
        <w:t>渣土执法方面，</w:t>
      </w:r>
      <w:r>
        <w:rPr>
          <w:rFonts w:hint="eastAsia" w:ascii="仿宋" w:hAnsi="仿宋" w:eastAsia="仿宋" w:cs="仿宋"/>
          <w:sz w:val="32"/>
          <w:szCs w:val="32"/>
        </w:rPr>
        <w:t>全年出动执法人员2300余人次，车辆600余台次，检查工地350余处次，检查渣土车辆500余台次。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ottom"/>
        <w:rPr>
          <w:rFonts w:hint="eastAsia" w:ascii="Times New Roman" w:hAnsi="Times New Roman" w:eastAsia="楷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bCs/>
          <w:kern w:val="2"/>
          <w:sz w:val="32"/>
          <w:szCs w:val="32"/>
          <w:lang w:val="en-US" w:eastAsia="zh-CN" w:bidi="ar-SA"/>
        </w:rPr>
        <w:t>（二）多措并举推进乡村振兴，帮扶成果扎实有效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帮扶后塘乡两个村的乡村振兴工作。一是与乡村两级和工作队一起，紧紧围绕乡村振兴工作总体目标要求，以农民增收为重点，办好实事、注重实效、强化服务，进一步巩固了脱贫攻坚成果。二是狠抓群众思想转变，致力提高群众思想素质，常深入帮扶户家中，与群众座谈，拉家常，了解群众的需求，取得了较好的工作成效。三是为各村根据自身实际情况，大力改善农村人居环境，切实解决环境脏、乱、差，改善村居环境和生活环境，按照建设宜居农村要求达到生产发展、生活富裕、设施完善、环境整洁、社会和谐的标准积极出谋划策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ottom"/>
        <w:rPr>
          <w:rFonts w:hint="eastAsia" w:ascii="Times New Roman" w:hAnsi="Times New Roman" w:eastAsia="楷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bCs/>
          <w:kern w:val="2"/>
          <w:sz w:val="32"/>
          <w:szCs w:val="32"/>
          <w:lang w:val="en-US" w:eastAsia="zh-CN" w:bidi="ar-SA"/>
        </w:rPr>
        <w:t>（三）安全生产常抓不懈，助推平安辰溪建设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一是利用局职工大会、法制教育课、座谈会等途径，宣讲安全生产重要性，做到安全生产警钟常鸣，组织干部职工参加急救、消防等专题培训，使全体队员接受比较系统的安全知识和技能教育。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安全生产坚持每季度召开会议，定期开展城市安全运行大检查，实行分管领导履行属地、行业领域负责制，贯彻“谁主管、谁负责”原则，严格落实重要时段领导带班、关键岗位24小时值班和安全生产“零报告”制度，做好防汛值班备勤，通过共同努力，一年来我局安全形势呈良好态势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ottom"/>
        <w:rPr>
          <w:rFonts w:hint="eastAsia" w:ascii="Times New Roman" w:hAnsi="Times New Roman" w:eastAsia="楷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bCs/>
          <w:kern w:val="2"/>
          <w:sz w:val="32"/>
          <w:szCs w:val="32"/>
          <w:lang w:val="en-US" w:eastAsia="zh-CN" w:bidi="ar-SA"/>
        </w:rPr>
        <w:t>（四）夯实城市建设基础，打造灯明草绿路畅地干净环境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环卫清扫保洁方面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2023年县城日常清扫面积达到130万平方米左右，日常清运县城生活垃圾125吨左右，垃圾场日常无害化处理填埋县城及周边乡镇生活垃圾153吨左右，全年累计无害化填埋处理生活垃圾约5.6万吨，日常处理渗滤液达到了350多吨，全年累计处理渗滤液12.6万多吨，日处理餐厨垃圾8吨左右，全年累计处理餐厨垃圾约3000吨。全年环卫行业各项指标完成值为清扫保洁率100%，清运率100%，生活垃圾无害化处理率100%，渗滤液无害化处理率100%，餐厨垃圾无害化处理率100%，生活垃圾资源化回收利用率40%。</w:t>
      </w:r>
      <w:r>
        <w:rPr>
          <w:rFonts w:hint="eastAsia" w:ascii="仿宋_GB2312" w:eastAsia="仿宋_GB2312"/>
          <w:b/>
          <w:sz w:val="32"/>
          <w:szCs w:val="32"/>
        </w:rPr>
        <w:t>市政建设维护方面</w:t>
      </w:r>
      <w:r>
        <w:rPr>
          <w:rFonts w:hint="eastAsia" w:ascii="仿宋_GB2312"/>
          <w:b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全年累计完成改造维修项目3项，总投资108万元。其中包括完成城区道路维修工程，双溪风光带（育才桥至撇洪工程段）路灯维修工程，东风桥、观澜桥和胜利桥桥梁安全运行检查。</w:t>
      </w:r>
      <w:r>
        <w:rPr>
          <w:rFonts w:hint="eastAsia" w:ascii="仿宋_GB2312" w:eastAsia="仿宋_GB2312"/>
          <w:b/>
          <w:sz w:val="32"/>
          <w:szCs w:val="32"/>
        </w:rPr>
        <w:t>园林绿化工作方面，</w:t>
      </w:r>
      <w:r>
        <w:rPr>
          <w:rFonts w:ascii="仿宋_GB2312" w:eastAsia="仿宋_GB2312"/>
          <w:sz w:val="32"/>
          <w:szCs w:val="32"/>
        </w:rPr>
        <w:t>2023</w:t>
      </w:r>
      <w:r>
        <w:rPr>
          <w:rFonts w:hint="eastAsia" w:ascii="仿宋_GB2312" w:eastAsia="仿宋_GB2312"/>
          <w:sz w:val="32"/>
          <w:szCs w:val="32"/>
        </w:rPr>
        <w:t>年我县绿地率达到</w:t>
      </w:r>
      <w:r>
        <w:rPr>
          <w:rFonts w:ascii="仿宋_GB2312" w:eastAsia="仿宋_GB2312"/>
          <w:sz w:val="32"/>
          <w:szCs w:val="32"/>
        </w:rPr>
        <w:t>33.79%</w:t>
      </w:r>
      <w:r>
        <w:rPr>
          <w:rFonts w:hint="eastAsia" w:ascii="仿宋_GB2312" w:eastAsia="仿宋_GB2312"/>
          <w:sz w:val="32"/>
          <w:szCs w:val="32"/>
        </w:rPr>
        <w:t>，绿化覆盖率达到</w:t>
      </w:r>
      <w:r>
        <w:rPr>
          <w:rFonts w:ascii="仿宋_GB2312" w:eastAsia="仿宋_GB2312"/>
          <w:sz w:val="32"/>
          <w:szCs w:val="32"/>
        </w:rPr>
        <w:t>39%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firstLine="0" w:firstLine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七、存在的问题及原因分析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ottom"/>
        <w:rPr>
          <w:rFonts w:hint="eastAsia" w:ascii="Times New Roman" w:hAnsi="Times New Roman" w:eastAsia="楷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bCs/>
          <w:kern w:val="2"/>
          <w:sz w:val="32"/>
          <w:szCs w:val="32"/>
          <w:lang w:val="en-US" w:eastAsia="zh-CN" w:bidi="ar-SA"/>
        </w:rPr>
        <w:t>（一）园林绿化有待提质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街头小游园分布少，公园绿地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/>
          <w:sz w:val="32"/>
          <w:szCs w:val="32"/>
          <w:lang w:val="en-US" w:eastAsia="zh-CN"/>
        </w:rPr>
        <w:t>-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</w:rPr>
        <w:t>分钟服务圈有待加强。立体绿化、防护绿地建设停滞不前，没有整体实施步骤。绿线管理欠缺，审批程序不完善。道路绿化率不达标，绿化带植物层次不丰富，景观效果欠佳。绿道不规范，长度不足，周边设施、标识不完善，绿道环形连接线间断不完整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" w:leftChars="0" w:firstLine="640" w:firstLineChars="200"/>
        <w:jc w:val="left"/>
        <w:rPr>
          <w:rFonts w:hint="eastAsia" w:ascii="Times New Roman" w:hAnsi="Times New Roman" w:eastAsia="楷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bCs/>
          <w:kern w:val="2"/>
          <w:sz w:val="32"/>
          <w:szCs w:val="32"/>
          <w:lang w:val="en-US" w:eastAsia="zh-CN" w:bidi="ar-SA"/>
        </w:rPr>
        <w:t>市政、园林专业技术人才欠缺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楷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一是市政建设维护中心为自收自支事业单位，不能公开招考或招聘全额事业编制专业技术和管理人员，且现有的工作人员面临逐步退休，造成单位专业技术和管理人员只出不进。目前专业技术人员严重不足，缺市政工程专业技术人员2名、路灯维修电工4名、吊车司机1名。二是县园林绿化所人才欠缺，长期未有新进人员，结构已严重老龄化，缺少技能人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八、下一步改进措施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ottom"/>
        <w:rPr>
          <w:rFonts w:hint="default" w:ascii="Times New Roman" w:hAnsi="Times New Roman" w:eastAsia="楷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bCs/>
          <w:kern w:val="2"/>
          <w:sz w:val="32"/>
          <w:szCs w:val="32"/>
          <w:lang w:val="en-US" w:eastAsia="zh-CN" w:bidi="ar-SA"/>
        </w:rPr>
        <w:t>（一）实地调研，整体布局</w:t>
      </w:r>
    </w:p>
    <w:p>
      <w:pPr>
        <w:spacing w:line="560" w:lineRule="exact"/>
        <w:ind w:firstLine="627" w:firstLineChars="196"/>
        <w:rPr>
          <w:rFonts w:hint="eastAsia" w:ascii="Times New Roman" w:hAnsi="Times New Roman" w:eastAsia="楷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/>
          <w:sz w:val="32"/>
          <w:szCs w:val="32"/>
          <w:lang w:val="en-US" w:eastAsia="zh-CN"/>
        </w:rPr>
        <w:t>强</w:t>
      </w:r>
      <w:r>
        <w:rPr>
          <w:rFonts w:hint="eastAsia" w:ascii="仿宋_GB2312" w:eastAsia="仿宋_GB2312"/>
          <w:sz w:val="32"/>
          <w:szCs w:val="32"/>
        </w:rPr>
        <w:t>化大局意识，责任意识，担当意识，直面</w:t>
      </w:r>
      <w:r>
        <w:rPr>
          <w:rFonts w:hint="eastAsia" w:ascii="仿宋_GB2312"/>
          <w:sz w:val="32"/>
          <w:szCs w:val="32"/>
          <w:lang w:val="en-US" w:eastAsia="zh-CN"/>
        </w:rPr>
        <w:t>问题</w:t>
      </w:r>
      <w:r>
        <w:rPr>
          <w:rFonts w:hint="eastAsia" w:ascii="仿宋_GB2312" w:eastAsia="仿宋_GB2312"/>
          <w:sz w:val="32"/>
          <w:szCs w:val="32"/>
        </w:rPr>
        <w:t>，深入实地一线</w:t>
      </w:r>
      <w:r>
        <w:rPr>
          <w:rFonts w:hint="eastAsia" w:ascii="仿宋_GB2312"/>
          <w:sz w:val="32"/>
          <w:szCs w:val="32"/>
          <w:lang w:val="en-US" w:eastAsia="zh-CN"/>
        </w:rPr>
        <w:t>调研，对需要改造的区域进行整体规划，合理编制工作方案。优化审批程序，加强</w:t>
      </w:r>
      <w:r>
        <w:rPr>
          <w:rFonts w:hint="eastAsia" w:ascii="仿宋_GB2312" w:eastAsia="仿宋_GB2312"/>
          <w:sz w:val="32"/>
          <w:szCs w:val="32"/>
        </w:rPr>
        <w:t>绿线管理</w:t>
      </w:r>
      <w:r>
        <w:rPr>
          <w:rFonts w:hint="eastAsia" w:ascii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全面提升城管执法队伍工作效率和工作效能，真正做到履职尽责。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ottom"/>
        <w:rPr>
          <w:rFonts w:hint="default" w:ascii="Times New Roman" w:hAnsi="Times New Roman" w:eastAsia="楷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bCs/>
          <w:kern w:val="2"/>
          <w:sz w:val="32"/>
          <w:szCs w:val="32"/>
          <w:lang w:val="en-US" w:eastAsia="zh-CN" w:bidi="ar-SA"/>
        </w:rPr>
        <w:t>（二）加强人才队伍建设</w:t>
      </w:r>
    </w:p>
    <w:p>
      <w:pPr>
        <w:spacing w:line="560" w:lineRule="exact"/>
        <w:ind w:firstLine="627" w:firstLineChars="196"/>
        <w:rPr>
          <w:rFonts w:hint="default" w:ascii="Times New Roman" w:hAnsi="Times New Roman" w:eastAsia="楷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对机关股室、二级机构加强教育培训，努力提升队员依法行政能力和管理水平，落实执法全过程记录制度，严格规范执法程序，进一步加强执法队伍专业化、规范化、信息化建设，提高执法效能，努力打造一支“内外兼修”的城市管理执法队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九、部门整体支出绩效自评结果拟应用和公开情况</w:t>
      </w:r>
    </w:p>
    <w:p>
      <w:pPr>
        <w:pStyle w:val="4"/>
        <w:ind w:firstLine="64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本单位通过绩效自评的开展提高了人员绩效意识，对存在的问题提请各相关人员加以改进，巩固绩效成果。同时拟将绩效自评报告向各</w:t>
      </w:r>
      <w:r>
        <w:rPr>
          <w:rFonts w:hint="eastAsia" w:ascii="仿宋_GB2312" w:eastAsia="仿宋_GB2312"/>
          <w:sz w:val="32"/>
          <w:szCs w:val="32"/>
        </w:rPr>
        <w:t>股室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反馈。做好项目实际绩效信息的收集机制，绩效责任落实机制，绩效反馈机制，评价结果的公开机制，沟通申诉机制等方面的配套，规范信息公开制度、激励约束机制和沟通复议机制等等，保证绩效评价结果的有效落实和运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十、其他需要说明的情况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239B9F"/>
    <w:multiLevelType w:val="singleLevel"/>
    <w:tmpl w:val="A4239B9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F6A22FE"/>
    <w:multiLevelType w:val="singleLevel"/>
    <w:tmpl w:val="BF6A22F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6924B08"/>
    <w:multiLevelType w:val="singleLevel"/>
    <w:tmpl w:val="26924B0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C5AE614"/>
    <w:multiLevelType w:val="singleLevel"/>
    <w:tmpl w:val="3C5AE61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  <w:docVar w:name="KSO_WPS_MARK_KEY" w:val="f73a7da4-5a40-4f43-8c58-3cc96ed7cb31"/>
  </w:docVars>
  <w:rsids>
    <w:rsidRoot w:val="00000000"/>
    <w:rsid w:val="00F33F60"/>
    <w:rsid w:val="00F45880"/>
    <w:rsid w:val="05E673F0"/>
    <w:rsid w:val="0DA13AE8"/>
    <w:rsid w:val="139A7FEC"/>
    <w:rsid w:val="1E425F68"/>
    <w:rsid w:val="26CC5BEE"/>
    <w:rsid w:val="33004C19"/>
    <w:rsid w:val="33BC72B7"/>
    <w:rsid w:val="393055A5"/>
    <w:rsid w:val="3B1F332F"/>
    <w:rsid w:val="3D8403D1"/>
    <w:rsid w:val="3E6949CA"/>
    <w:rsid w:val="50C3182D"/>
    <w:rsid w:val="6A356EA0"/>
    <w:rsid w:val="6F4624C1"/>
    <w:rsid w:val="75295AB7"/>
    <w:rsid w:val="76137B31"/>
    <w:rsid w:val="7B6A3D8E"/>
    <w:rsid w:val="7BC37307"/>
    <w:rsid w:val="7F62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spacing w:line="365" w:lineRule="atLeast"/>
      <w:ind w:left="1" w:firstLine="420" w:firstLineChars="200"/>
      <w:textAlignment w:val="bottom"/>
    </w:pPr>
    <w:rPr>
      <w:rFonts w:ascii="Calibri" w:hAnsi="Calibri" w:eastAsia="宋体"/>
      <w:kern w:val="0"/>
      <w:sz w:val="2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3702</Words>
  <Characters>4149</Characters>
  <Lines>0</Lines>
  <Paragraphs>0</Paragraphs>
  <TotalTime>0</TotalTime>
  <ScaleCrop>false</ScaleCrop>
  <LinksUpToDate>false</LinksUpToDate>
  <CharactersWithSpaces>4198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2024-04-08T02:05:00Z</dcterms:created>
  <dc:creator>peipe</dc:creator>
  <cp:lastModifiedBy>九月</cp:lastModifiedBy>
  <cp:lastPrinted>2024-04-10T03:27:00Z</cp:lastPrinted>
  <dcterms:modified xsi:type="dcterms:W3CDTF">2024-10-30T08:21:00Z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446CB662069A4BE78D82D974A8575E65_12</vt:lpwstr>
  </property>
</Properties>
</file>