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2D5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t>辰溪县人力资源和社会保障局</w:t>
      </w:r>
    </w:p>
    <w:p w14:paraId="274D60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rPr>
        <w:t>部门整体支出绩效自评报告</w:t>
      </w:r>
    </w:p>
    <w:p w14:paraId="573B8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b w:val="0"/>
          <w:bCs w:val="0"/>
          <w:i w:val="0"/>
          <w:iCs w:val="0"/>
          <w:caps w:val="0"/>
          <w:color w:val="000000"/>
          <w:spacing w:val="0"/>
          <w:sz w:val="24"/>
          <w:szCs w:val="24"/>
        </w:rPr>
      </w:pPr>
    </w:p>
    <w:p w14:paraId="3E04E4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1D15DB9E">
      <w:pPr>
        <w:pStyle w:val="7"/>
        <w:spacing w:before="0" w:beforeAutospacing="0" w:after="200" w:afterAutospacing="0" w:line="480" w:lineRule="auto"/>
        <w:ind w:firstLine="806" w:firstLineChars="252"/>
        <w:rPr>
          <w:rFonts w:ascii="仿宋" w:hAnsi="仿宋" w:eastAsia="仿宋"/>
          <w:spacing w:val="-2"/>
          <w:kern w:val="2"/>
          <w:sz w:val="32"/>
          <w:szCs w:val="32"/>
        </w:rPr>
      </w:pPr>
      <w:r>
        <w:rPr>
          <w:rFonts w:hint="default" w:ascii="楷体_GB2312" w:eastAsia="楷体_GB2312" w:cs="楷体_GB2312"/>
          <w:i w:val="0"/>
          <w:iCs w:val="0"/>
          <w:caps w:val="0"/>
          <w:color w:val="000000"/>
          <w:spacing w:val="0"/>
          <w:sz w:val="32"/>
          <w:szCs w:val="32"/>
          <w:shd w:val="clear" w:fill="FFFFFF"/>
        </w:rPr>
        <w:t>（一）机构设置情况</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spacing w:val="-2"/>
          <w:kern w:val="2"/>
          <w:sz w:val="32"/>
          <w:szCs w:val="32"/>
        </w:rPr>
        <w:t>人力资源和社会保障局作为一级部门预算单位，下有二级部门预算单位包括：退休人员服务中心；信息中心；劳动监察大队；劳动人事争议仲裁院。人力资源和社会保障局作为一级部门预算单位，内设科室为：办公室；财务股；政策法规股；劳动关系股；行政审批服务股；工资福利股；事业单位人事管理股；专业技术人员管理股；社保基金监管股；被征地农民社会保障领导小组办公室。</w:t>
      </w:r>
    </w:p>
    <w:p w14:paraId="3B7C5B7C">
      <w:pPr>
        <w:ind w:firstLine="640" w:firstLineChars="200"/>
        <w:rPr>
          <w:rFonts w:hint="eastAsia" w:ascii="楷体_GB2312" w:eastAsia="楷体_GB2312" w:cs="楷体_GB2312"/>
          <w:i w:val="0"/>
          <w:iCs w:val="0"/>
          <w:caps w:val="0"/>
          <w:color w:val="000000"/>
          <w:spacing w:val="0"/>
          <w:sz w:val="32"/>
          <w:szCs w:val="32"/>
          <w:lang w:eastAsia="zh-CN"/>
        </w:rPr>
      </w:pPr>
      <w:r>
        <w:rPr>
          <w:rFonts w:hint="default" w:ascii="楷体_GB2312" w:eastAsia="楷体_GB2312" w:cs="楷体_GB2312"/>
          <w:i w:val="0"/>
          <w:iCs w:val="0"/>
          <w:caps w:val="0"/>
          <w:color w:val="000000"/>
          <w:spacing w:val="0"/>
          <w:sz w:val="32"/>
          <w:szCs w:val="32"/>
          <w:shd w:val="clear" w:fill="FFFFFF"/>
        </w:rPr>
        <w:t>（二）人员编制情况</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cs="宋体"/>
          <w:spacing w:val="-2"/>
          <w:sz w:val="32"/>
          <w:szCs w:val="32"/>
        </w:rPr>
        <w:t>我局共有</w:t>
      </w:r>
      <w:r>
        <w:rPr>
          <w:rFonts w:ascii="仿宋" w:hAnsi="仿宋" w:eastAsia="仿宋" w:cs="宋体"/>
          <w:spacing w:val="-2"/>
          <w:sz w:val="32"/>
          <w:szCs w:val="32"/>
        </w:rPr>
        <w:t>9</w:t>
      </w:r>
      <w:r>
        <w:rPr>
          <w:rFonts w:hint="eastAsia" w:ascii="仿宋" w:hAnsi="仿宋" w:eastAsia="仿宋" w:cs="宋体"/>
          <w:spacing w:val="-2"/>
          <w:sz w:val="32"/>
          <w:szCs w:val="32"/>
        </w:rPr>
        <w:t>个业务股室、5个直属事业单位（不独立核算），干部职工</w:t>
      </w:r>
      <w:r>
        <w:rPr>
          <w:rFonts w:ascii="仿宋" w:hAnsi="仿宋" w:eastAsia="仿宋" w:cs="宋体"/>
          <w:spacing w:val="-2"/>
          <w:sz w:val="32"/>
          <w:szCs w:val="32"/>
        </w:rPr>
        <w:t>10</w:t>
      </w:r>
      <w:r>
        <w:rPr>
          <w:rFonts w:hint="eastAsia" w:ascii="仿宋" w:hAnsi="仿宋" w:eastAsia="仿宋" w:cs="宋体"/>
          <w:spacing w:val="-2"/>
          <w:sz w:val="32"/>
          <w:szCs w:val="32"/>
        </w:rPr>
        <w:t>3人。其中：在职</w:t>
      </w:r>
      <w:r>
        <w:rPr>
          <w:rFonts w:hint="eastAsia" w:ascii="仿宋" w:hAnsi="仿宋" w:eastAsia="仿宋" w:cs="宋体"/>
          <w:spacing w:val="-2"/>
          <w:sz w:val="32"/>
          <w:szCs w:val="32"/>
          <w:lang w:val="en-US" w:eastAsia="zh-CN"/>
        </w:rPr>
        <w:t>44</w:t>
      </w:r>
      <w:r>
        <w:rPr>
          <w:rFonts w:hint="eastAsia" w:ascii="仿宋" w:hAnsi="仿宋" w:eastAsia="仿宋" w:cs="宋体"/>
          <w:spacing w:val="-2"/>
          <w:sz w:val="32"/>
          <w:szCs w:val="32"/>
        </w:rPr>
        <w:t>人，退休</w:t>
      </w:r>
      <w:r>
        <w:rPr>
          <w:rFonts w:ascii="仿宋" w:hAnsi="仿宋" w:eastAsia="仿宋" w:cs="宋体"/>
          <w:spacing w:val="-2"/>
          <w:sz w:val="32"/>
          <w:szCs w:val="32"/>
        </w:rPr>
        <w:t>4</w:t>
      </w:r>
      <w:r>
        <w:rPr>
          <w:rFonts w:hint="eastAsia" w:ascii="仿宋" w:hAnsi="仿宋" w:eastAsia="仿宋" w:cs="宋体"/>
          <w:spacing w:val="-2"/>
          <w:sz w:val="32"/>
          <w:szCs w:val="32"/>
          <w:lang w:val="en-US" w:eastAsia="zh-CN"/>
        </w:rPr>
        <w:t>8</w:t>
      </w:r>
      <w:r>
        <w:rPr>
          <w:rFonts w:hint="eastAsia" w:ascii="仿宋" w:hAnsi="仿宋" w:eastAsia="仿宋" w:cs="宋体"/>
          <w:spacing w:val="-2"/>
          <w:sz w:val="32"/>
          <w:szCs w:val="32"/>
        </w:rPr>
        <w:t>人，乡镇劳动保障站人员</w:t>
      </w:r>
      <w:r>
        <w:rPr>
          <w:rFonts w:ascii="仿宋" w:hAnsi="仿宋" w:eastAsia="仿宋" w:cs="宋体"/>
          <w:spacing w:val="-2"/>
          <w:sz w:val="32"/>
          <w:szCs w:val="32"/>
        </w:rPr>
        <w:t>11</w:t>
      </w:r>
      <w:r>
        <w:rPr>
          <w:rFonts w:hint="eastAsia" w:ascii="仿宋" w:hAnsi="仿宋" w:eastAsia="仿宋" w:cs="宋体"/>
          <w:spacing w:val="-2"/>
          <w:sz w:val="32"/>
          <w:szCs w:val="32"/>
        </w:rPr>
        <w:t>人。</w:t>
      </w:r>
    </w:p>
    <w:p w14:paraId="3BD25103">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color w:val="000000"/>
          <w:sz w:val="32"/>
          <w:szCs w:val="32"/>
        </w:rPr>
      </w:pPr>
      <w:r>
        <w:rPr>
          <w:rFonts w:hint="default" w:ascii="楷体_GB2312" w:eastAsia="楷体_GB2312" w:cs="楷体_GB2312"/>
          <w:i w:val="0"/>
          <w:iCs w:val="0"/>
          <w:caps w:val="0"/>
          <w:color w:val="000000"/>
          <w:spacing w:val="0"/>
          <w:sz w:val="32"/>
          <w:szCs w:val="32"/>
          <w:shd w:val="clear" w:fill="FFFFFF"/>
        </w:rPr>
        <w:t>（三）主要职能职责</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cs="仿宋"/>
          <w:snapToGrid w:val="0"/>
          <w:color w:val="000000"/>
          <w:sz w:val="32"/>
          <w:szCs w:val="32"/>
          <w:lang w:val="en-US" w:eastAsia="zh-CN"/>
        </w:rPr>
        <w:t>1、</w:t>
      </w:r>
      <w:r>
        <w:rPr>
          <w:rFonts w:hint="eastAsia" w:ascii="仿宋" w:hAnsi="仿宋" w:eastAsia="仿宋" w:cs="仿宋"/>
          <w:snapToGrid w:val="0"/>
          <w:color w:val="000000"/>
          <w:sz w:val="32"/>
          <w:szCs w:val="32"/>
        </w:rPr>
        <w:t>贯彻执行国家、省、市人力资源和社会保障法律法规规章，贯彻人力资源和社会保障事业发展政策、规划。</w:t>
      </w:r>
    </w:p>
    <w:p w14:paraId="320FC04A">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lang w:val="en-US" w:eastAsia="zh-CN"/>
        </w:rPr>
        <w:t>2、</w:t>
      </w:r>
      <w:r>
        <w:rPr>
          <w:rFonts w:hint="eastAsia" w:ascii="仿宋" w:hAnsi="仿宋" w:eastAsia="仿宋" w:cs="仿宋"/>
          <w:snapToGrid w:val="0"/>
          <w:color w:val="000000"/>
          <w:kern w:val="0"/>
          <w:sz w:val="32"/>
          <w:szCs w:val="32"/>
        </w:rPr>
        <w:t>落实人力资源市场发展规划和人力资源服务业发展、人力资源流动政策，促进人力资源合理流动、有效配置。</w:t>
      </w:r>
    </w:p>
    <w:p w14:paraId="6AF450A6">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color w:val="000000"/>
          <w:kern w:val="0"/>
          <w:sz w:val="32"/>
          <w:szCs w:val="32"/>
          <w:lang w:val="en-US" w:eastAsia="zh-CN"/>
        </w:rPr>
        <w:t>3、</w:t>
      </w:r>
      <w:r>
        <w:rPr>
          <w:rFonts w:hint="eastAsia" w:ascii="仿宋" w:hAnsi="仿宋" w:eastAsia="仿宋" w:cs="仿宋"/>
          <w:snapToGrid w:val="0"/>
          <w:color w:val="000000"/>
          <w:kern w:val="0"/>
          <w:sz w:val="32"/>
          <w:szCs w:val="32"/>
        </w:rPr>
        <w:t>负责全县促进就业工作，贯彻执行统筹城乡的就</w:t>
      </w:r>
      <w:r>
        <w:rPr>
          <w:rFonts w:hint="eastAsia" w:ascii="仿宋" w:hAnsi="仿宋" w:eastAsia="仿宋" w:cs="仿宋"/>
          <w:snapToGrid w:val="0"/>
          <w:kern w:val="0"/>
          <w:sz w:val="32"/>
          <w:szCs w:val="32"/>
        </w:rPr>
        <w:t>业发展规划和政策，完善公共就业创业服务体系，落实面向城乡劳动者的职业技能培训制度，落实就业援助制度，牵头落实高校毕业生就业政策。</w:t>
      </w:r>
    </w:p>
    <w:p w14:paraId="27DCD10A">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4、</w:t>
      </w:r>
      <w:r>
        <w:rPr>
          <w:rFonts w:hint="eastAsia" w:ascii="仿宋" w:hAnsi="仿宋" w:eastAsia="仿宋" w:cs="仿宋"/>
          <w:snapToGrid w:val="0"/>
          <w:kern w:val="0"/>
          <w:sz w:val="32"/>
          <w:szCs w:val="32"/>
        </w:rPr>
        <w:t>统筹推进建立覆盖全县城乡的多层次社会保障体系。贯彻执行养老、失业、工伤等社会保险及其补充保险政策和标准，贯彻实施养老保险全国、全省统筹办法和养老、失业、工伤保险关系转续办法。组织落实养老、失业、工伤等社会保险及其补充保险基金管理和监督制度，编制全县相关社会保险基金预决算草案。参与落实相关社会保障基金投资政策。会同有关部门实施全民参保计划并建立全县统一的社会保险公共服务平台。</w:t>
      </w:r>
    </w:p>
    <w:p w14:paraId="46641027">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5、</w:t>
      </w:r>
      <w:r>
        <w:rPr>
          <w:rFonts w:hint="eastAsia" w:ascii="仿宋" w:hAnsi="仿宋" w:eastAsia="仿宋" w:cs="仿宋"/>
          <w:snapToGrid w:val="0"/>
          <w:kern w:val="0"/>
          <w:sz w:val="32"/>
          <w:szCs w:val="32"/>
        </w:rPr>
        <w:t>负责全县就业、失业和相关社会保险基金预测预警和信息引导，拟订应对预案，实施预防、调节和控制，保持就业形势稳定和相关社会保险基金总体收支平衡。</w:t>
      </w:r>
    </w:p>
    <w:p w14:paraId="7E6AA406">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6、</w:t>
      </w:r>
      <w:r>
        <w:rPr>
          <w:rFonts w:hint="eastAsia" w:ascii="仿宋" w:hAnsi="仿宋" w:eastAsia="仿宋" w:cs="仿宋"/>
          <w:snapToGrid w:val="0"/>
          <w:kern w:val="0"/>
          <w:sz w:val="32"/>
          <w:szCs w:val="32"/>
        </w:rPr>
        <w:t>统筹落实全县劳动人事争议调解仲裁有关制度和劳动关系政策，完善劳动关系协商协调机制，贯彻执行职工工作时间、休息休假和假期实施办法，贯彻执行消除非法使用童工政策和女工、未成年工特殊劳动保护政策。组织实施劳动保障监察，协调劳动者维权工作，依法查处重大案件，协调处理有关人力资源和社会保障方面的信访事项。</w:t>
      </w:r>
    </w:p>
    <w:p w14:paraId="256B4074">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7、</w:t>
      </w:r>
      <w:r>
        <w:rPr>
          <w:rFonts w:hint="eastAsia" w:ascii="仿宋" w:hAnsi="仿宋" w:eastAsia="仿宋" w:cs="仿宋"/>
          <w:snapToGrid w:val="0"/>
          <w:kern w:val="0"/>
          <w:sz w:val="32"/>
          <w:szCs w:val="32"/>
        </w:rPr>
        <w:t>牵头推进深化职称制度改革，贯彻落实专业技术人员管理、继续教育和博士后管理等政策，组织开展高层次专业技术人才选拔和培养工作。会同有关部门落实国家、省、</w:t>
      </w:r>
      <w:r>
        <w:rPr>
          <w:rFonts w:hint="eastAsia" w:ascii="仿宋" w:hAnsi="仿宋" w:eastAsia="仿宋" w:cs="仿宋"/>
          <w:snapToGrid w:val="0"/>
          <w:color w:val="000000"/>
          <w:kern w:val="0"/>
          <w:sz w:val="32"/>
          <w:szCs w:val="32"/>
        </w:rPr>
        <w:t>市、县</w:t>
      </w:r>
      <w:r>
        <w:rPr>
          <w:rFonts w:hint="eastAsia" w:ascii="仿宋" w:hAnsi="仿宋" w:eastAsia="仿宋" w:cs="仿宋"/>
          <w:snapToGrid w:val="0"/>
          <w:kern w:val="0"/>
          <w:sz w:val="32"/>
          <w:szCs w:val="32"/>
        </w:rPr>
        <w:t>吸引留学人员创新创业相关政策</w:t>
      </w:r>
      <w:r>
        <w:rPr>
          <w:rFonts w:hint="eastAsia" w:ascii="仿宋" w:hAnsi="仿宋" w:eastAsia="仿宋" w:cs="仿宋"/>
          <w:b/>
          <w:bCs/>
          <w:snapToGrid w:val="0"/>
          <w:kern w:val="0"/>
          <w:sz w:val="32"/>
          <w:szCs w:val="32"/>
        </w:rPr>
        <w:t>。</w:t>
      </w:r>
      <w:r>
        <w:rPr>
          <w:rFonts w:hint="eastAsia" w:ascii="仿宋" w:hAnsi="仿宋" w:eastAsia="仿宋" w:cs="仿宋"/>
          <w:snapToGrid w:val="0"/>
          <w:kern w:val="0"/>
          <w:sz w:val="32"/>
          <w:szCs w:val="32"/>
        </w:rPr>
        <w:t>组织拟定技能人才培养、评价、使用和激励制度。积极落实职业资格制度，健全职业技能多元化评价政策。</w:t>
      </w:r>
    </w:p>
    <w:p w14:paraId="243A659F">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8、</w:t>
      </w:r>
      <w:r>
        <w:rPr>
          <w:rFonts w:hint="eastAsia" w:ascii="仿宋" w:hAnsi="仿宋" w:eastAsia="仿宋" w:cs="仿宋"/>
          <w:snapToGrid w:val="0"/>
          <w:kern w:val="0"/>
          <w:sz w:val="32"/>
          <w:szCs w:val="32"/>
        </w:rPr>
        <w:t>会同有关部门指导事业单位人事制度改革，按照管理权限负责规范事业单位岗位设置、公开招聘、聘用合同等人事综合管理工作，落实事业单位工作人员和机关工勤人员管理政策。</w:t>
      </w:r>
    </w:p>
    <w:p w14:paraId="189105D9">
      <w:pPr>
        <w:keepNext w:val="0"/>
        <w:keepLines w:val="0"/>
        <w:pageBreakBefore w:val="0"/>
        <w:kinsoku/>
        <w:wordWrap/>
        <w:overflowPunct/>
        <w:topLinePunct w:val="0"/>
        <w:autoSpaceDE/>
        <w:autoSpaceDN/>
        <w:bidi w:val="0"/>
        <w:spacing w:before="157" w:beforeLines="50" w:after="157" w:afterLines="50" w:line="560" w:lineRule="exact"/>
        <w:ind w:firstLine="640" w:firstLineChars="200"/>
        <w:contextualSpacing/>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9、</w:t>
      </w:r>
      <w:r>
        <w:rPr>
          <w:rFonts w:hint="eastAsia" w:ascii="仿宋" w:hAnsi="仿宋" w:eastAsia="仿宋" w:cs="仿宋"/>
          <w:snapToGrid w:val="0"/>
          <w:kern w:val="0"/>
          <w:sz w:val="32"/>
          <w:szCs w:val="32"/>
        </w:rPr>
        <w:t>会同有关部门贯彻实施国家表彰奖励制度，</w:t>
      </w:r>
      <w:r>
        <w:rPr>
          <w:rFonts w:hint="eastAsia" w:ascii="仿宋" w:hAnsi="仿宋" w:eastAsia="仿宋" w:cs="仿宋"/>
          <w:sz w:val="32"/>
          <w:szCs w:val="32"/>
        </w:rPr>
        <w:t>综合管理县级表彰奖励工作，承担全县评比达标表彰和</w:t>
      </w:r>
      <w:r>
        <w:rPr>
          <w:rFonts w:hint="eastAsia" w:ascii="仿宋" w:hAnsi="仿宋" w:eastAsia="仿宋" w:cs="仿宋"/>
          <w:color w:val="000000"/>
          <w:sz w:val="32"/>
          <w:szCs w:val="32"/>
        </w:rPr>
        <w:t>县级表彰等工作，根据授权承办以县委、县政府名义开展的县级</w:t>
      </w:r>
      <w:r>
        <w:rPr>
          <w:rFonts w:hint="eastAsia" w:ascii="仿宋" w:hAnsi="仿宋" w:eastAsia="仿宋" w:cs="仿宋"/>
          <w:sz w:val="32"/>
          <w:szCs w:val="32"/>
        </w:rPr>
        <w:t>表彰奖励活动。</w:t>
      </w:r>
    </w:p>
    <w:p w14:paraId="2D145C47">
      <w:pPr>
        <w:keepNext w:val="0"/>
        <w:keepLines w:val="0"/>
        <w:pageBreakBefore w:val="0"/>
        <w:kinsoku/>
        <w:wordWrap/>
        <w:overflowPunct/>
        <w:topLinePunct w:val="0"/>
        <w:autoSpaceDE/>
        <w:autoSpaceDN/>
        <w:bidi w:val="0"/>
        <w:spacing w:before="157" w:beforeLines="50" w:after="157" w:afterLines="50" w:line="560" w:lineRule="exact"/>
        <w:ind w:firstLine="640" w:firstLineChars="200"/>
        <w:contextualSpacing/>
        <w:textAlignment w:val="auto"/>
        <w:rPr>
          <w:rFonts w:hint="eastAsia" w:ascii="仿宋" w:hAnsi="仿宋" w:eastAsia="仿宋" w:cs="仿宋"/>
          <w:snapToGrid w:val="0"/>
          <w:kern w:val="0"/>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会同有关部门落实事业单位人员工资收入分配政策，建立企事业单位人员工资决定、正常增长和支付保障机制。落实企事业单位人员福利和离退休政策。</w:t>
      </w:r>
    </w:p>
    <w:p w14:paraId="315FC17E">
      <w:pPr>
        <w:keepNext w:val="0"/>
        <w:keepLines w:val="0"/>
        <w:pageBreakBefore w:val="0"/>
        <w:kinsoku/>
        <w:wordWrap/>
        <w:overflowPunct/>
        <w:topLinePunct w:val="0"/>
        <w:autoSpaceDE/>
        <w:autoSpaceDN/>
        <w:bidi w:val="0"/>
        <w:spacing w:before="157" w:beforeLines="50" w:after="157" w:afterLines="50" w:line="560" w:lineRule="exact"/>
        <w:ind w:firstLine="640" w:firstLineChars="200"/>
        <w:contextualSpacing/>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11、</w:t>
      </w:r>
      <w:r>
        <w:rPr>
          <w:rFonts w:hint="eastAsia" w:ascii="仿宋" w:hAnsi="仿宋" w:eastAsia="仿宋" w:cs="仿宋"/>
          <w:snapToGrid w:val="0"/>
          <w:kern w:val="0"/>
          <w:sz w:val="32"/>
          <w:szCs w:val="32"/>
        </w:rPr>
        <w:t>会同有关部门</w:t>
      </w:r>
      <w:r>
        <w:rPr>
          <w:rFonts w:hint="eastAsia" w:ascii="仿宋" w:hAnsi="仿宋" w:eastAsia="仿宋" w:cs="仿宋"/>
          <w:sz w:val="32"/>
          <w:szCs w:val="32"/>
        </w:rPr>
        <w:t>落实</w:t>
      </w:r>
      <w:r>
        <w:rPr>
          <w:rFonts w:hint="eastAsia" w:ascii="仿宋" w:hAnsi="仿宋" w:eastAsia="仿宋" w:cs="仿宋"/>
          <w:snapToGrid w:val="0"/>
          <w:kern w:val="0"/>
          <w:sz w:val="32"/>
          <w:szCs w:val="32"/>
        </w:rPr>
        <w:t>全县农民工工作综合性政策和规划，推动相关政策落实，协调解决重点难点问题，维护农民工合法权益。</w:t>
      </w:r>
    </w:p>
    <w:p w14:paraId="4452BC11">
      <w:pPr>
        <w:keepNext w:val="0"/>
        <w:keepLines w:val="0"/>
        <w:pageBreakBefore w:val="0"/>
        <w:kinsoku/>
        <w:wordWrap/>
        <w:overflowPunct/>
        <w:topLinePunct w:val="0"/>
        <w:autoSpaceDE/>
        <w:autoSpaceDN/>
        <w:bidi w:val="0"/>
        <w:spacing w:before="157" w:beforeLines="50" w:after="157" w:afterLines="50" w:line="560" w:lineRule="exact"/>
        <w:ind w:firstLine="640" w:firstLineChars="200"/>
        <w:contextualSpacing/>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12、</w:t>
      </w:r>
      <w:r>
        <w:rPr>
          <w:rFonts w:hint="eastAsia" w:ascii="仿宋" w:hAnsi="仿宋" w:eastAsia="仿宋" w:cs="仿宋"/>
          <w:snapToGrid w:val="0"/>
          <w:kern w:val="0"/>
          <w:sz w:val="32"/>
          <w:szCs w:val="32"/>
        </w:rPr>
        <w:t xml:space="preserve">负责全县人力资源和社会保障领域国际交流与合作工作。 </w:t>
      </w:r>
    </w:p>
    <w:p w14:paraId="6277C927">
      <w:pPr>
        <w:keepNext w:val="0"/>
        <w:keepLines w:val="0"/>
        <w:pageBreakBefore w:val="0"/>
        <w:kinsoku/>
        <w:wordWrap/>
        <w:overflowPunct/>
        <w:topLinePunct w:val="0"/>
        <w:autoSpaceDE/>
        <w:autoSpaceDN/>
        <w:bidi w:val="0"/>
        <w:spacing w:before="157" w:beforeLines="50" w:after="157" w:afterLines="50" w:line="560" w:lineRule="exact"/>
        <w:ind w:firstLine="640" w:firstLineChars="200"/>
        <w:contextualSpacing/>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lang w:val="en-US" w:eastAsia="zh-CN"/>
        </w:rPr>
        <w:t>13、</w:t>
      </w:r>
      <w:r>
        <w:rPr>
          <w:rFonts w:hint="eastAsia" w:ascii="仿宋" w:hAnsi="仿宋" w:eastAsia="仿宋" w:cs="仿宋"/>
          <w:snapToGrid w:val="0"/>
          <w:kern w:val="0"/>
          <w:sz w:val="32"/>
          <w:szCs w:val="32"/>
        </w:rPr>
        <w:t>完成县委、县政府交办的其他任务。</w:t>
      </w:r>
    </w:p>
    <w:p w14:paraId="0DFE671D">
      <w:pPr>
        <w:pStyle w:val="7"/>
        <w:keepNext w:val="0"/>
        <w:keepLines w:val="0"/>
        <w:pageBreakBefore w:val="0"/>
        <w:kinsoku/>
        <w:wordWrap/>
        <w:overflowPunct/>
        <w:topLinePunct w:val="0"/>
        <w:autoSpaceDE/>
        <w:autoSpaceDN/>
        <w:bidi w:val="0"/>
        <w:adjustRightInd w:val="0"/>
        <w:snapToGrid w:val="0"/>
        <w:spacing w:before="157" w:beforeLines="50" w:beforeAutospacing="0" w:after="157" w:afterLines="50" w:afterAutospacing="0" w:line="560" w:lineRule="exact"/>
        <w:ind w:firstLine="640" w:firstLineChars="200"/>
        <w:jc w:val="both"/>
        <w:textAlignment w:val="auto"/>
        <w:rPr>
          <w:rFonts w:hint="eastAsia" w:ascii="楷体_GB2312" w:eastAsia="楷体_GB2312" w:cs="楷体_GB2312"/>
          <w:i w:val="0"/>
          <w:iCs w:val="0"/>
          <w:caps w:val="0"/>
          <w:color w:val="000000"/>
          <w:spacing w:val="0"/>
          <w:sz w:val="32"/>
          <w:szCs w:val="32"/>
          <w:lang w:eastAsia="zh-CN"/>
        </w:rPr>
      </w:pPr>
      <w:r>
        <w:rPr>
          <w:rFonts w:hint="eastAsia" w:ascii="仿宋" w:hAnsi="仿宋" w:eastAsia="仿宋" w:cs="仿宋"/>
          <w:snapToGrid w:val="0"/>
          <w:sz w:val="32"/>
          <w:szCs w:val="32"/>
          <w:lang w:val="en-US" w:eastAsia="zh-CN"/>
        </w:rPr>
        <w:t>14、</w:t>
      </w:r>
      <w:r>
        <w:rPr>
          <w:rFonts w:hint="eastAsia" w:ascii="仿宋" w:hAnsi="仿宋" w:eastAsia="仿宋" w:cs="仿宋"/>
          <w:snapToGrid w:val="0"/>
          <w:sz w:val="32"/>
          <w:szCs w:val="32"/>
        </w:rPr>
        <w:t>职能转变。深入推进简政放权、放管结合、优化服务改革，进一步减少行政审批事项，规范和优化对外办理事项，加强事中事后监管，创新就业和社会保障等公共服务方式，加强信息共享，提高公共服务水平。</w:t>
      </w:r>
    </w:p>
    <w:p w14:paraId="3889A30C">
      <w:pPr>
        <w:keepNext w:val="0"/>
        <w:keepLines w:val="0"/>
        <w:pageBreakBefore w:val="0"/>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default" w:ascii="楷体_GB2312" w:eastAsia="楷体_GB2312" w:cs="楷体_GB2312"/>
          <w:i w:val="0"/>
          <w:iCs w:val="0"/>
          <w:caps w:val="0"/>
          <w:color w:val="000000"/>
          <w:spacing w:val="0"/>
          <w:sz w:val="32"/>
          <w:szCs w:val="32"/>
          <w:shd w:val="clear" w:fill="FFFFFF"/>
        </w:rPr>
        <w:t>（四）绩效目标设定情况</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cs="仿宋"/>
          <w:sz w:val="32"/>
          <w:szCs w:val="32"/>
        </w:rPr>
        <w:t>1、加强民生工程的宣传力度，提高群众的知晓度和满意度，积极开展就业技能培训和就业帮扶工程，完善城乡居民基本养老保险，完成档案建设达标工作。</w:t>
      </w:r>
    </w:p>
    <w:p w14:paraId="5618E182">
      <w:pPr>
        <w:keepNext w:val="0"/>
        <w:keepLines w:val="0"/>
        <w:pageBreakBefore w:val="0"/>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扩大和稳定就业，定期走访县内园区和重点项目企业，了解企业用工需求，提供政策咨询、招用工、协调劳动关系等系列服务；做好就业实名制和就业困难人员就业服务工作，积极开展就业援助对象登记认定和动态管理；认真落实各项援助政策。</w:t>
      </w:r>
    </w:p>
    <w:p w14:paraId="6C8FD792">
      <w:pPr>
        <w:keepNext w:val="0"/>
        <w:keepLines w:val="0"/>
        <w:pageBreakBefore w:val="0"/>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努力构建和谐劳动关系，完善协调劳动关系三方机制，开展推进集体合同制度，不断扩大集体合同覆盖面；加强日常巡查、专项检查和投诉举报的查处力度，组织开展清理拖欠农民工工资专项行动；进一步加强劳动人事争议仲裁工作，加快仲裁机构实体化和基层调解组织建设，构建多渠道的争议调解体系，逐步形成企业调解、基层调解、社会调解的工作网络。</w:t>
      </w:r>
    </w:p>
    <w:p w14:paraId="6C200572">
      <w:pPr>
        <w:keepNext w:val="0"/>
        <w:keepLines w:val="0"/>
        <w:pageBreakBefore w:val="0"/>
        <w:kinsoku/>
        <w:wordWrap/>
        <w:overflowPunct/>
        <w:topLinePunct w:val="0"/>
        <w:autoSpaceDE/>
        <w:autoSpaceDN/>
        <w:bidi w:val="0"/>
        <w:spacing w:before="157" w:beforeLines="50" w:after="157" w:afterLines="50" w:line="560" w:lineRule="exact"/>
        <w:ind w:firstLine="640" w:firstLineChars="200"/>
        <w:textAlignment w:val="auto"/>
        <w:rPr>
          <w:rFonts w:hint="eastAsia" w:ascii="楷体_GB2312" w:eastAsia="楷体_GB2312" w:cs="楷体_GB2312"/>
          <w:i w:val="0"/>
          <w:iCs w:val="0"/>
          <w:caps w:val="0"/>
          <w:color w:val="000000"/>
          <w:spacing w:val="0"/>
          <w:sz w:val="32"/>
          <w:szCs w:val="32"/>
          <w:lang w:eastAsia="zh-CN"/>
        </w:rPr>
      </w:pPr>
      <w:r>
        <w:rPr>
          <w:rFonts w:hint="eastAsia" w:ascii="仿宋" w:hAnsi="仿宋" w:eastAsia="仿宋" w:cs="仿宋"/>
          <w:sz w:val="32"/>
          <w:szCs w:val="32"/>
        </w:rPr>
        <w:t>4、进一步做好人事人才工作，加强技能人才队伍建设，深入推进高技能人才培养工程，抓好技能大师工作室建设，加大引进国外智力工作力度，积极组织引智项目申报，联系落实我县已获国家批准的引智项目的专家人选及项目实施工作。按照公正、公平、竞争、择优的原则做好事业单位公开招聘笔试、面试、体检、考察、聘用等工作。按照省市要求完成202</w:t>
      </w:r>
      <w:r>
        <w:rPr>
          <w:rFonts w:hint="eastAsia" w:ascii="仿宋" w:hAnsi="仿宋" w:eastAsia="仿宋" w:cs="仿宋"/>
          <w:sz w:val="32"/>
          <w:szCs w:val="32"/>
          <w:lang w:val="en-US" w:eastAsia="zh-CN"/>
        </w:rPr>
        <w:t>4</w:t>
      </w:r>
      <w:r>
        <w:rPr>
          <w:rFonts w:hint="eastAsia" w:ascii="仿宋" w:hAnsi="仿宋" w:eastAsia="仿宋" w:cs="仿宋"/>
          <w:sz w:val="32"/>
          <w:szCs w:val="32"/>
        </w:rPr>
        <w:t>年公务员、</w:t>
      </w:r>
      <w:r>
        <w:rPr>
          <w:rFonts w:hint="eastAsia" w:ascii="仿宋" w:hAnsi="仿宋" w:eastAsia="仿宋" w:cs="仿宋"/>
          <w:sz w:val="32"/>
          <w:szCs w:val="32"/>
          <w:lang w:eastAsia="zh-CN"/>
        </w:rPr>
        <w:t>事业单位、</w:t>
      </w:r>
      <w:r>
        <w:rPr>
          <w:rFonts w:hint="eastAsia" w:ascii="仿宋" w:hAnsi="仿宋" w:eastAsia="仿宋" w:cs="仿宋"/>
          <w:sz w:val="32"/>
          <w:szCs w:val="32"/>
        </w:rPr>
        <w:t>“三支一扶”等招募的人员确定、体检、考察、录用等工作。</w:t>
      </w:r>
    </w:p>
    <w:p w14:paraId="28136554">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CC74832">
      <w:pPr>
        <w:keepNext w:val="0"/>
        <w:keepLines w:val="0"/>
        <w:pageBreakBefore w:val="0"/>
        <w:numPr>
          <w:ilvl w:val="0"/>
          <w:numId w:val="0"/>
        </w:numPr>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r>
        <w:rPr>
          <w:rFonts w:hint="eastAsia" w:ascii="仿宋" w:hAnsi="仿宋" w:eastAsia="仿宋" w:cs="仿宋"/>
          <w:sz w:val="32"/>
          <w:szCs w:val="32"/>
        </w:rPr>
        <w:t>预算执行中期或结束后，要及时对预算资金的产出和结果进行绩效评价，重点评价产出和结果的经济性、效率性和效益性。资金使用部门要对预算执行情况进行自评，认真分析研究评价结果所反映的问题，努力查找资金使用和管理中的薄弱环节，制定改进和提高工作的措施。</w:t>
      </w:r>
    </w:p>
    <w:p w14:paraId="31DB74E0">
      <w:pPr>
        <w:keepNext w:val="0"/>
        <w:keepLines w:val="0"/>
        <w:pageBreakBefore w:val="0"/>
        <w:numPr>
          <w:ilvl w:val="0"/>
          <w:numId w:val="0"/>
        </w:numPr>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1、报送要求。在规定时间内完成部门自评和当年纳入县财政局重点评价项目支出绩效自评，并向县财政局提交绩效评价自评报告。</w:t>
      </w:r>
    </w:p>
    <w:p w14:paraId="37B2F37F">
      <w:pPr>
        <w:keepNext w:val="0"/>
        <w:keepLines w:val="0"/>
        <w:pageBreakBefore w:val="0"/>
        <w:numPr>
          <w:ilvl w:val="0"/>
          <w:numId w:val="0"/>
        </w:numPr>
        <w:kinsoku/>
        <w:wordWrap/>
        <w:overflowPunct/>
        <w:topLinePunct w:val="0"/>
        <w:autoSpaceDE/>
        <w:autoSpaceDN/>
        <w:bidi w:val="0"/>
        <w:spacing w:before="157" w:beforeLines="50" w:after="157" w:afterLines="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2、质量要求。单位提交的绩效评价自评报告基本格式规范，各项内容完整，评价指标明确，相关数据齐全，标准清楚，评价结论客观合理。绩效评价自评自评报告中对问题分析全面深入，所提建议针对性强。</w:t>
      </w:r>
    </w:p>
    <w:p w14:paraId="1D158B4C">
      <w:pPr>
        <w:keepNext w:val="0"/>
        <w:keepLines w:val="0"/>
        <w:pageBreakBefore w:val="0"/>
        <w:numPr>
          <w:ilvl w:val="0"/>
          <w:numId w:val="0"/>
        </w:numPr>
        <w:kinsoku/>
        <w:wordWrap/>
        <w:overflowPunct/>
        <w:topLinePunct w:val="0"/>
        <w:autoSpaceDE/>
        <w:autoSpaceDN/>
        <w:bidi w:val="0"/>
        <w:spacing w:before="157" w:beforeLines="50" w:after="157" w:afterLines="50" w:line="560" w:lineRule="exact"/>
        <w:ind w:firstLine="640" w:firstLineChars="200"/>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cs="仿宋"/>
          <w:sz w:val="32"/>
          <w:szCs w:val="32"/>
        </w:rPr>
        <w:t>3、评价范围。</w:t>
      </w:r>
      <w:r>
        <w:rPr>
          <w:rFonts w:hint="eastAsia" w:ascii="仿宋" w:hAnsi="仿宋" w:eastAsia="仿宋" w:cs="仿宋"/>
          <w:sz w:val="32"/>
          <w:szCs w:val="32"/>
          <w:lang w:eastAsia="zh-CN"/>
        </w:rPr>
        <w:t>合理合规评价预算部门项目支出绩效和部门整体支出绩效自评，且自评覆盖率达到</w:t>
      </w:r>
      <w:r>
        <w:rPr>
          <w:rFonts w:hint="eastAsia" w:ascii="仿宋" w:hAnsi="仿宋" w:eastAsia="仿宋" w:cs="仿宋"/>
          <w:sz w:val="32"/>
          <w:szCs w:val="32"/>
          <w:lang w:val="en-US" w:eastAsia="zh-CN"/>
        </w:rPr>
        <w:t>85%以上。</w:t>
      </w:r>
    </w:p>
    <w:p w14:paraId="160BF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14:paraId="53281567">
      <w:pPr>
        <w:pStyle w:val="14"/>
        <w:ind w:firstLine="640" w:firstLineChars="200"/>
        <w:rPr>
          <w:rFonts w:hint="eastAsia" w:ascii="仿宋" w:hAnsi="仿宋" w:eastAsia="仿宋" w:cs="仿宋"/>
          <w:kern w:val="0"/>
          <w:sz w:val="32"/>
          <w:szCs w:val="32"/>
        </w:rPr>
      </w:pPr>
      <w:r>
        <w:rPr>
          <w:rFonts w:hint="default" w:ascii="仿宋_GB2312" w:eastAsia="仿宋_GB2312" w:cs="仿宋_GB2312"/>
          <w:i w:val="0"/>
          <w:iCs w:val="0"/>
          <w:caps w:val="0"/>
          <w:color w:val="000000"/>
          <w:spacing w:val="0"/>
          <w:sz w:val="32"/>
          <w:szCs w:val="32"/>
          <w:shd w:val="clear" w:fill="FFFFFF"/>
        </w:rPr>
        <w:t>1.基本支出情况</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年部门整体支出总计</w:t>
      </w:r>
      <w:r>
        <w:rPr>
          <w:rFonts w:hint="eastAsia" w:ascii="仿宋" w:hAnsi="仿宋" w:eastAsia="仿宋" w:cs="仿宋"/>
          <w:sz w:val="32"/>
          <w:szCs w:val="32"/>
          <w:lang w:val="en-US" w:eastAsia="zh-CN"/>
        </w:rPr>
        <w:t>1176.69</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1176.69</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年相比，部门整体支出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73.66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6.67</w:t>
      </w:r>
      <w:r>
        <w:rPr>
          <w:rFonts w:hint="eastAsia" w:ascii="仿宋" w:hAnsi="仿宋" w:eastAsia="仿宋" w:cs="仿宋"/>
          <w:sz w:val="32"/>
          <w:szCs w:val="32"/>
        </w:rPr>
        <w:t>%，主要是因为：</w:t>
      </w:r>
      <w:r>
        <w:rPr>
          <w:rFonts w:hint="eastAsia" w:ascii="仿宋" w:hAnsi="仿宋" w:eastAsia="仿宋" w:cs="仿宋"/>
          <w:kern w:val="0"/>
          <w:sz w:val="32"/>
          <w:szCs w:val="32"/>
          <w:lang w:eastAsia="zh-CN"/>
        </w:rPr>
        <w:t>系统改革，项目纳入预算</w:t>
      </w:r>
      <w:r>
        <w:rPr>
          <w:rFonts w:hint="eastAsia" w:ascii="仿宋" w:hAnsi="仿宋" w:eastAsia="仿宋" w:cs="仿宋"/>
          <w:kern w:val="0"/>
          <w:sz w:val="32"/>
          <w:szCs w:val="32"/>
        </w:rPr>
        <w:t>。</w:t>
      </w:r>
    </w:p>
    <w:p w14:paraId="563FE48F">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年基本支出合计</w:t>
      </w:r>
      <w:r>
        <w:rPr>
          <w:rFonts w:hint="eastAsia" w:ascii="仿宋" w:hAnsi="仿宋" w:eastAsia="仿宋" w:cs="仿宋"/>
          <w:sz w:val="32"/>
          <w:szCs w:val="32"/>
          <w:lang w:val="en-US" w:eastAsia="zh-CN"/>
        </w:rPr>
        <w:t>1176.69</w:t>
      </w:r>
      <w:r>
        <w:rPr>
          <w:rFonts w:hint="eastAsia" w:ascii="仿宋" w:hAnsi="仿宋" w:eastAsia="仿宋" w:cs="仿宋"/>
          <w:sz w:val="32"/>
          <w:szCs w:val="32"/>
        </w:rPr>
        <w:t>万元，全部为一般公共预算财政拨款支出。其中：人员经费</w:t>
      </w:r>
      <w:r>
        <w:rPr>
          <w:rFonts w:hint="eastAsia" w:ascii="仿宋" w:hAnsi="仿宋" w:eastAsia="仿宋" w:cs="仿宋"/>
          <w:sz w:val="32"/>
          <w:szCs w:val="32"/>
          <w:lang w:val="en-US" w:eastAsia="zh-CN"/>
        </w:rPr>
        <w:t>658.22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55.93</w:t>
      </w:r>
      <w:r>
        <w:rPr>
          <w:rFonts w:hint="eastAsia" w:ascii="仿宋" w:hAnsi="仿宋" w:eastAsia="仿宋" w:cs="仿宋"/>
          <w:sz w:val="32"/>
          <w:szCs w:val="32"/>
        </w:rPr>
        <w:t>%,主要包括基本工资、津贴补贴、奖金、四险二金、住房公积金其他工作福利支出、救济费、其他对个人和家庭的补助；公用经费</w:t>
      </w:r>
      <w:r>
        <w:rPr>
          <w:rFonts w:hint="eastAsia" w:ascii="仿宋" w:hAnsi="仿宋" w:eastAsia="仿宋" w:cs="仿宋"/>
          <w:sz w:val="32"/>
          <w:szCs w:val="32"/>
          <w:lang w:val="en-US" w:eastAsia="zh-CN"/>
        </w:rPr>
        <w:t>518.46</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44.07</w:t>
      </w:r>
      <w:r>
        <w:rPr>
          <w:rFonts w:hint="eastAsia" w:ascii="仿宋" w:hAnsi="仿宋" w:eastAsia="仿宋" w:cs="仿宋"/>
          <w:sz w:val="32"/>
          <w:szCs w:val="32"/>
        </w:rPr>
        <w:t>%，主要包括办公费、印刷费、咨询费、手续费、电费、邮电费、差旅费、培训费、公务接待费、工会经费、公务用车运行维护费、其他商品和服务支出等。</w:t>
      </w:r>
    </w:p>
    <w:p w14:paraId="4389857A">
      <w:pPr>
        <w:pStyle w:val="14"/>
        <w:ind w:firstLine="640" w:firstLineChars="200"/>
        <w:rPr>
          <w:rFonts w:hint="default" w:ascii="仿宋_GB2312" w:eastAsia="仿宋_GB2312" w:cs="仿宋_GB2312"/>
          <w:i w:val="0"/>
          <w:iCs w:val="0"/>
          <w:caps w:val="0"/>
          <w:color w:val="000000"/>
          <w:spacing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年总支出合计</w:t>
      </w:r>
      <w:r>
        <w:rPr>
          <w:rFonts w:hint="eastAsia" w:ascii="仿宋" w:hAnsi="仿宋" w:eastAsia="仿宋" w:cs="仿宋"/>
          <w:sz w:val="32"/>
          <w:szCs w:val="32"/>
          <w:lang w:val="en-US" w:eastAsia="zh-CN"/>
        </w:rPr>
        <w:t>1176.69</w:t>
      </w:r>
      <w:r>
        <w:rPr>
          <w:rFonts w:hint="eastAsia" w:ascii="仿宋" w:hAnsi="仿宋" w:eastAsia="仿宋" w:cs="仿宋"/>
          <w:sz w:val="32"/>
          <w:szCs w:val="32"/>
        </w:rPr>
        <w:t>万元按支出功能分类主要用于以下方面:一般公共服务支出0万元；社会保障和就业支出</w:t>
      </w:r>
      <w:r>
        <w:rPr>
          <w:rFonts w:hint="eastAsia" w:ascii="仿宋" w:hAnsi="仿宋" w:eastAsia="仿宋" w:cs="仿宋"/>
          <w:sz w:val="32"/>
          <w:szCs w:val="32"/>
          <w:lang w:val="en-US" w:eastAsia="zh-CN"/>
        </w:rPr>
        <w:t>1176.69</w:t>
      </w:r>
      <w:r>
        <w:rPr>
          <w:rFonts w:hint="eastAsia" w:ascii="仿宋" w:hAnsi="仿宋" w:eastAsia="仿宋" w:cs="仿宋"/>
          <w:sz w:val="32"/>
          <w:szCs w:val="32"/>
        </w:rPr>
        <w:t>万元，占比100%。</w:t>
      </w:r>
    </w:p>
    <w:p w14:paraId="4A8474CF">
      <w:pPr>
        <w:widowControl/>
        <w:numPr>
          <w:ilvl w:val="0"/>
          <w:numId w:val="1"/>
        </w:numPr>
        <w:shd w:val="clear" w:color="auto" w:fill="FFFFFF"/>
        <w:spacing w:line="600" w:lineRule="atLeast"/>
        <w:ind w:firstLine="64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项目支出情况</w:t>
      </w:r>
      <w:r>
        <w:rPr>
          <w:rFonts w:hint="eastAsia" w:ascii="仿宋" w:hAnsi="仿宋" w:eastAsia="仿宋" w:cs="仿宋"/>
          <w:kern w:val="2"/>
          <w:sz w:val="32"/>
          <w:szCs w:val="32"/>
          <w:lang w:val="en-US" w:eastAsia="zh-CN" w:bidi="ar-SA"/>
        </w:rPr>
        <w:t>:</w:t>
      </w:r>
    </w:p>
    <w:p w14:paraId="024469F6">
      <w:pPr>
        <w:widowControl/>
        <w:numPr>
          <w:ilvl w:val="0"/>
          <w:numId w:val="2"/>
        </w:numPr>
        <w:shd w:val="clear" w:color="auto" w:fill="FFFFFF"/>
        <w:spacing w:line="600" w:lineRule="atLeast"/>
        <w:ind w:firstLine="632" w:firstLineChars="200"/>
        <w:rPr>
          <w:rFonts w:ascii="仿宋" w:hAnsi="仿宋" w:eastAsia="仿宋"/>
          <w:spacing w:val="-2"/>
          <w:sz w:val="32"/>
          <w:szCs w:val="32"/>
        </w:rPr>
      </w:pPr>
      <w:r>
        <w:rPr>
          <w:rFonts w:ascii="仿宋" w:hAnsi="仿宋" w:eastAsia="仿宋"/>
          <w:spacing w:val="-2"/>
          <w:sz w:val="32"/>
          <w:szCs w:val="32"/>
        </w:rPr>
        <w:t>专项资金（包括财政资金、自筹资金等）安排落实、总投入等情况分析。</w:t>
      </w:r>
    </w:p>
    <w:p w14:paraId="133A1FC4">
      <w:pPr>
        <w:widowControl/>
        <w:numPr>
          <w:ilvl w:val="0"/>
          <w:numId w:val="0"/>
        </w:numPr>
        <w:shd w:val="clear" w:color="auto" w:fill="FFFFFF"/>
        <w:spacing w:line="600" w:lineRule="atLeast"/>
        <w:ind w:firstLine="640" w:firstLineChars="200"/>
        <w:rPr>
          <w:rFonts w:hint="eastAsia" w:ascii="仿宋" w:hAnsi="仿宋" w:eastAsia="仿宋"/>
          <w:spacing w:val="-2"/>
          <w:sz w:val="32"/>
          <w:szCs w:val="32"/>
          <w:lang w:val="en-US" w:eastAsia="zh-CN"/>
        </w:rPr>
      </w:pPr>
      <w:r>
        <w:rPr>
          <w:rFonts w:hint="eastAsia" w:ascii="仿宋" w:hAnsi="仿宋" w:eastAsia="仿宋" w:cs="Times New Roman"/>
          <w:kern w:val="2"/>
          <w:sz w:val="32"/>
          <w:szCs w:val="32"/>
          <w:lang w:val="en-US" w:eastAsia="zh-CN" w:bidi="ar-SA"/>
        </w:rPr>
        <w:t>项目支出年初预算预算240.68万元，其中：劳动保障监察大队监察执法专项</w:t>
      </w:r>
      <w:r>
        <w:rPr>
          <w:rFonts w:hint="eastAsia" w:ascii="仿宋" w:hAnsi="仿宋" w:eastAsia="仿宋"/>
          <w:spacing w:val="-2"/>
          <w:sz w:val="32"/>
          <w:szCs w:val="32"/>
          <w:lang w:val="en-US" w:eastAsia="zh-CN"/>
        </w:rPr>
        <w:t>17万元，由于财政在2024年12月份下拨额度0万元，本年决算支出为0万元；</w:t>
      </w:r>
      <w:r>
        <w:rPr>
          <w:rFonts w:hint="eastAsia" w:ascii="仿宋" w:hAnsi="仿宋" w:eastAsia="仿宋" w:cs="Times New Roman"/>
          <w:kern w:val="2"/>
          <w:sz w:val="32"/>
          <w:szCs w:val="32"/>
          <w:lang w:val="en-US" w:eastAsia="zh-CN" w:bidi="ar-SA"/>
        </w:rPr>
        <w:t>社保基金监管专项</w:t>
      </w:r>
      <w:r>
        <w:rPr>
          <w:rFonts w:hint="eastAsia" w:ascii="仿宋" w:hAnsi="仿宋" w:eastAsia="仿宋"/>
          <w:spacing w:val="-2"/>
          <w:sz w:val="32"/>
          <w:szCs w:val="32"/>
          <w:lang w:val="en-US" w:eastAsia="zh-CN"/>
        </w:rPr>
        <w:t>50万元，由于财政在2024年12月份下拨额度25万元，本年决算支出为25万元；</w:t>
      </w:r>
      <w:r>
        <w:rPr>
          <w:rFonts w:hint="eastAsia" w:ascii="仿宋" w:hAnsi="仿宋" w:eastAsia="仿宋" w:cs="Times New Roman"/>
          <w:kern w:val="2"/>
          <w:sz w:val="32"/>
          <w:szCs w:val="32"/>
          <w:lang w:val="en-US" w:eastAsia="zh-CN" w:bidi="ar-SA"/>
        </w:rPr>
        <w:t>华中内养人员生活补助专项</w:t>
      </w:r>
      <w:r>
        <w:rPr>
          <w:rFonts w:hint="eastAsia" w:ascii="仿宋" w:hAnsi="仿宋" w:eastAsia="仿宋"/>
          <w:spacing w:val="-2"/>
          <w:sz w:val="32"/>
          <w:szCs w:val="32"/>
          <w:lang w:val="en-US" w:eastAsia="zh-CN"/>
        </w:rPr>
        <w:t>13.68万元，由于财政在2024年12月份下拨额度13.68万元，本年决算支出为13.68万元；</w:t>
      </w:r>
      <w:r>
        <w:rPr>
          <w:rFonts w:hint="eastAsia" w:ascii="仿宋" w:hAnsi="仿宋" w:eastAsia="仿宋" w:cs="Times New Roman"/>
          <w:kern w:val="2"/>
          <w:sz w:val="32"/>
          <w:szCs w:val="32"/>
          <w:lang w:val="en-US" w:eastAsia="zh-CN" w:bidi="ar-SA"/>
        </w:rPr>
        <w:t>事业单位公开招聘专项</w:t>
      </w:r>
      <w:r>
        <w:rPr>
          <w:rFonts w:hint="eastAsia" w:ascii="仿宋" w:hAnsi="仿宋" w:eastAsia="仿宋"/>
          <w:spacing w:val="-2"/>
          <w:sz w:val="32"/>
          <w:szCs w:val="32"/>
          <w:lang w:val="en-US" w:eastAsia="zh-CN"/>
        </w:rPr>
        <w:t>100万元，由于财政在2024年12月份下拨额度76.6万元，本年决算支出为76.6万元；</w:t>
      </w:r>
      <w:r>
        <w:rPr>
          <w:rFonts w:hint="eastAsia" w:ascii="仿宋" w:hAnsi="仿宋" w:eastAsia="仿宋" w:cs="Times New Roman"/>
          <w:kern w:val="2"/>
          <w:sz w:val="32"/>
          <w:szCs w:val="32"/>
          <w:lang w:val="en-US" w:eastAsia="zh-CN" w:bidi="ar-SA"/>
        </w:rPr>
        <w:t>企业解困年终慰问专项</w:t>
      </w:r>
      <w:r>
        <w:rPr>
          <w:rFonts w:hint="eastAsia" w:ascii="仿宋" w:hAnsi="仿宋" w:eastAsia="仿宋"/>
          <w:spacing w:val="-2"/>
          <w:sz w:val="32"/>
          <w:szCs w:val="32"/>
          <w:lang w:val="en-US" w:eastAsia="zh-CN"/>
        </w:rPr>
        <w:t>60万元，由于财政在2024年12月份下拨额度55.5万元，本年决算支出为55.5万元</w:t>
      </w:r>
    </w:p>
    <w:p w14:paraId="1DB4494D">
      <w:pPr>
        <w:widowControl/>
        <w:numPr>
          <w:ilvl w:val="0"/>
          <w:numId w:val="0"/>
        </w:numPr>
        <w:shd w:val="clear" w:color="auto" w:fill="FFFFFF"/>
        <w:spacing w:line="600" w:lineRule="atLeast"/>
        <w:ind w:firstLine="632" w:firstLineChars="200"/>
        <w:rPr>
          <w:rFonts w:ascii="仿宋" w:hAnsi="仿宋" w:eastAsia="仿宋"/>
          <w:spacing w:val="-2"/>
          <w:sz w:val="32"/>
          <w:szCs w:val="32"/>
        </w:rPr>
      </w:pP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2</w:t>
      </w:r>
      <w:r>
        <w:rPr>
          <w:rFonts w:hint="eastAsia" w:ascii="仿宋" w:hAnsi="仿宋" w:eastAsia="仿宋"/>
          <w:spacing w:val="-2"/>
          <w:sz w:val="32"/>
          <w:szCs w:val="32"/>
          <w:lang w:eastAsia="zh-CN"/>
        </w:rPr>
        <w:t>）</w:t>
      </w:r>
      <w:r>
        <w:rPr>
          <w:rFonts w:ascii="仿宋" w:hAnsi="仿宋" w:eastAsia="仿宋"/>
          <w:spacing w:val="-2"/>
          <w:sz w:val="32"/>
          <w:szCs w:val="32"/>
        </w:rPr>
        <w:t>专项资金（主要指财政资金）实际使用情况分析。</w:t>
      </w:r>
    </w:p>
    <w:p w14:paraId="328D7D1E">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spacing w:val="-2"/>
          <w:kern w:val="0"/>
          <w:sz w:val="32"/>
          <w:szCs w:val="32"/>
          <w:lang w:val="en-US" w:eastAsia="zh-CN" w:bidi="ar"/>
        </w:rPr>
        <w:t xml:space="preserve">  2024年共收到财政拨付项目资金170.78万元，为2024年</w:t>
      </w:r>
      <w:r>
        <w:rPr>
          <w:rFonts w:hint="eastAsia" w:ascii="仿宋" w:hAnsi="仿宋" w:eastAsia="仿宋" w:cs="Times New Roman"/>
          <w:kern w:val="2"/>
          <w:sz w:val="32"/>
          <w:szCs w:val="32"/>
          <w:lang w:val="en-US" w:eastAsia="zh-CN" w:bidi="ar-SA"/>
        </w:rPr>
        <w:t>劳动保障监察大队监察执法专项、社保基金监管专项、华中内养人员生活补助专项、事业单位公开招聘专项、企业解困年终慰问专项</w:t>
      </w:r>
      <w:r>
        <w:rPr>
          <w:rFonts w:hint="eastAsia" w:ascii="仿宋" w:hAnsi="仿宋" w:eastAsia="仿宋"/>
          <w:spacing w:val="-2"/>
          <w:sz w:val="32"/>
          <w:szCs w:val="32"/>
          <w:lang w:val="en-US" w:eastAsia="zh-CN"/>
        </w:rPr>
        <w:t>，</w:t>
      </w:r>
      <w:r>
        <w:rPr>
          <w:rFonts w:hint="eastAsia" w:ascii="仿宋" w:hAnsi="仿宋" w:eastAsia="仿宋"/>
          <w:spacing w:val="-2"/>
          <w:kern w:val="0"/>
          <w:sz w:val="32"/>
          <w:szCs w:val="32"/>
          <w:lang w:val="en-US" w:eastAsia="zh-CN" w:bidi="ar"/>
        </w:rPr>
        <w:t>预算资金额度在年底下达，2024年专项资金实际决算支出为170.78万元。</w:t>
      </w:r>
    </w:p>
    <w:p w14:paraId="06D431F1">
      <w:pPr>
        <w:pStyle w:val="14"/>
        <w:ind w:firstLine="640" w:firstLineChars="200"/>
        <w:rPr>
          <w:rFonts w:hint="eastAsia" w:ascii="楷体_GB2312" w:eastAsia="楷体_GB2312" w:cs="楷体_GB2312"/>
          <w:i w:val="0"/>
          <w:iCs w:val="0"/>
          <w:caps w:val="0"/>
          <w:color w:val="000000"/>
          <w:spacing w:val="0"/>
          <w:sz w:val="32"/>
          <w:szCs w:val="32"/>
          <w:lang w:eastAsia="zh-CN"/>
        </w:rPr>
      </w:pPr>
      <w:r>
        <w:rPr>
          <w:rFonts w:hint="default" w:ascii="楷体_GB2312" w:eastAsia="楷体_GB2312" w:cs="楷体_GB2312"/>
          <w:i w:val="0"/>
          <w:iCs w:val="0"/>
          <w:caps w:val="0"/>
          <w:color w:val="000000"/>
          <w:spacing w:val="0"/>
          <w:sz w:val="32"/>
          <w:szCs w:val="32"/>
          <w:shd w:val="clear" w:fill="FFFFFF"/>
        </w:rPr>
        <w:t>（三）"三公"经费使用和管理情况</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年度“三公”经费支出决算数为</w:t>
      </w:r>
      <w:r>
        <w:rPr>
          <w:rFonts w:hint="eastAsia" w:ascii="仿宋" w:hAnsi="仿宋" w:eastAsia="仿宋" w:cs="仿宋"/>
          <w:sz w:val="32"/>
          <w:szCs w:val="32"/>
          <w:lang w:val="en-US" w:eastAsia="zh-CN"/>
        </w:rPr>
        <w:t>0.77</w:t>
      </w:r>
      <w:r>
        <w:rPr>
          <w:rFonts w:hint="eastAsia" w:ascii="仿宋" w:hAnsi="仿宋" w:eastAsia="仿宋" w:cs="仿宋"/>
          <w:sz w:val="32"/>
          <w:szCs w:val="32"/>
        </w:rPr>
        <w:t>万元。其中：①公务接待费支出决算数</w:t>
      </w:r>
      <w:r>
        <w:rPr>
          <w:rFonts w:hint="eastAsia" w:ascii="仿宋" w:hAnsi="仿宋" w:eastAsia="仿宋" w:cs="仿宋"/>
          <w:sz w:val="32"/>
          <w:szCs w:val="32"/>
          <w:lang w:val="en-US" w:eastAsia="zh-CN"/>
        </w:rPr>
        <w:t>0.77</w:t>
      </w:r>
      <w:r>
        <w:rPr>
          <w:rFonts w:hint="eastAsia" w:ascii="仿宋" w:hAnsi="仿宋" w:eastAsia="仿宋" w:cs="仿宋"/>
          <w:sz w:val="32"/>
          <w:szCs w:val="32"/>
        </w:rPr>
        <w:t>万元，占100%。全年共接待来访团组</w:t>
      </w:r>
      <w:r>
        <w:rPr>
          <w:rFonts w:hint="eastAsia" w:ascii="仿宋" w:hAnsi="仿宋" w:eastAsia="仿宋" w:cs="仿宋"/>
          <w:sz w:val="32"/>
          <w:szCs w:val="32"/>
          <w:lang w:val="en-US" w:eastAsia="zh-CN"/>
        </w:rPr>
        <w:t>10</w:t>
      </w:r>
      <w:r>
        <w:rPr>
          <w:rFonts w:hint="eastAsia" w:ascii="仿宋" w:hAnsi="仿宋" w:eastAsia="仿宋" w:cs="仿宋"/>
          <w:sz w:val="32"/>
          <w:szCs w:val="32"/>
        </w:rPr>
        <w:t>个、来宾</w:t>
      </w:r>
      <w:r>
        <w:rPr>
          <w:rFonts w:hint="eastAsia" w:ascii="仿宋" w:hAnsi="仿宋" w:eastAsia="仿宋" w:cs="仿宋"/>
          <w:sz w:val="32"/>
          <w:szCs w:val="32"/>
          <w:lang w:val="en-US" w:eastAsia="zh-CN"/>
        </w:rPr>
        <w:t>118</w:t>
      </w:r>
      <w:r>
        <w:rPr>
          <w:rFonts w:hint="eastAsia" w:ascii="仿宋" w:hAnsi="仿宋" w:eastAsia="仿宋" w:cs="仿宋"/>
          <w:sz w:val="32"/>
          <w:szCs w:val="32"/>
        </w:rPr>
        <w:t>人次，主要是上级部门来辰检查各项工作发生的接待支出。因公出国（境）费支出决算0万元，全年安排因公出国（境）团组0个，累计0人次。②公务用车购置费及运行维护费支出决算数0万元。我单位无公车，不存在公务用车运行维护费。</w:t>
      </w:r>
    </w:p>
    <w:p w14:paraId="0F0FD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三、政府性基金预算支出情况</w:t>
      </w:r>
      <w:r>
        <w:rPr>
          <w:rFonts w:hint="eastAsia" w:ascii="黑体" w:hAnsi="黑体" w:eastAsia="黑体" w:cs="黑体"/>
          <w:i w:val="0"/>
          <w:iCs w:val="0"/>
          <w:caps w:val="0"/>
          <w:color w:val="000000"/>
          <w:spacing w:val="0"/>
          <w:sz w:val="32"/>
          <w:szCs w:val="32"/>
          <w:shd w:val="clear" w:fill="FFFFFF"/>
          <w:lang w:eastAsia="zh-CN"/>
        </w:rPr>
        <w:t>：无</w:t>
      </w:r>
      <w:r>
        <w:rPr>
          <w:rFonts w:hint="eastAsia" w:ascii="黑体" w:hAnsi="黑体" w:eastAsia="黑体" w:cs="黑体"/>
          <w:i w:val="0"/>
          <w:iCs w:val="0"/>
          <w:caps w:val="0"/>
          <w:color w:val="000000"/>
          <w:spacing w:val="0"/>
          <w:sz w:val="32"/>
          <w:szCs w:val="32"/>
          <w:shd w:val="clear" w:fill="FFFFFF"/>
        </w:rPr>
        <w:t>政府性基金预算支出</w:t>
      </w:r>
      <w:r>
        <w:rPr>
          <w:rFonts w:hint="eastAsia" w:ascii="黑体" w:hAnsi="黑体" w:eastAsia="黑体" w:cs="黑体"/>
          <w:i w:val="0"/>
          <w:iCs w:val="0"/>
          <w:caps w:val="0"/>
          <w:color w:val="000000"/>
          <w:spacing w:val="0"/>
          <w:sz w:val="32"/>
          <w:szCs w:val="32"/>
          <w:shd w:val="clear" w:fill="FFFFFF"/>
          <w:lang w:eastAsia="zh-CN"/>
        </w:rPr>
        <w:t>。</w:t>
      </w:r>
    </w:p>
    <w:p w14:paraId="069C89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四、国有资本经营预算支出情况</w:t>
      </w:r>
      <w:r>
        <w:rPr>
          <w:rFonts w:hint="eastAsia" w:ascii="黑体" w:hAnsi="黑体" w:eastAsia="黑体" w:cs="黑体"/>
          <w:i w:val="0"/>
          <w:iCs w:val="0"/>
          <w:caps w:val="0"/>
          <w:color w:val="000000"/>
          <w:spacing w:val="0"/>
          <w:sz w:val="32"/>
          <w:szCs w:val="32"/>
          <w:shd w:val="clear" w:fill="FFFFFF"/>
          <w:lang w:eastAsia="zh-CN"/>
        </w:rPr>
        <w:t>：无</w:t>
      </w:r>
      <w:r>
        <w:rPr>
          <w:rFonts w:hint="eastAsia" w:ascii="黑体" w:hAnsi="黑体" w:eastAsia="黑体" w:cs="黑体"/>
          <w:i w:val="0"/>
          <w:iCs w:val="0"/>
          <w:caps w:val="0"/>
          <w:color w:val="000000"/>
          <w:spacing w:val="0"/>
          <w:sz w:val="32"/>
          <w:szCs w:val="32"/>
          <w:shd w:val="clear" w:fill="FFFFFF"/>
        </w:rPr>
        <w:t>国有资本经营预算支出</w:t>
      </w:r>
    </w:p>
    <w:p w14:paraId="48ED984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rPr>
        <w:t>五、社会保险基金预算支出情况</w:t>
      </w:r>
      <w:r>
        <w:rPr>
          <w:rFonts w:hint="eastAsia" w:ascii="黑体" w:hAnsi="黑体" w:eastAsia="黑体" w:cs="黑体"/>
          <w:i w:val="0"/>
          <w:iCs w:val="0"/>
          <w:caps w:val="0"/>
          <w:color w:val="000000"/>
          <w:spacing w:val="0"/>
          <w:sz w:val="32"/>
          <w:szCs w:val="32"/>
          <w:shd w:val="clear" w:fill="FFFFFF"/>
          <w:lang w:eastAsia="zh-CN"/>
        </w:rPr>
        <w:t>：无</w:t>
      </w:r>
      <w:r>
        <w:rPr>
          <w:rFonts w:hint="eastAsia" w:ascii="黑体" w:hAnsi="黑体" w:eastAsia="黑体" w:cs="黑体"/>
          <w:i w:val="0"/>
          <w:iCs w:val="0"/>
          <w:caps w:val="0"/>
          <w:color w:val="000000"/>
          <w:spacing w:val="0"/>
          <w:sz w:val="32"/>
          <w:szCs w:val="32"/>
          <w:shd w:val="clear" w:fill="FFFFFF"/>
        </w:rPr>
        <w:t>社会保险基金预算支出</w:t>
      </w:r>
    </w:p>
    <w:p w14:paraId="28A4E1D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006FAFD7">
      <w:pPr>
        <w:widowControl/>
        <w:shd w:val="clear" w:color="auto" w:fill="FFFFFF"/>
        <w:spacing w:line="600" w:lineRule="atLeas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eastAsia" w:ascii="仿宋" w:hAnsi="仿宋" w:eastAsia="仿宋" w:cs="仿宋"/>
          <w:sz w:val="32"/>
          <w:szCs w:val="32"/>
        </w:rPr>
        <w:t>一年来，我局在县委县政府的正确领导下，细化工作责任，狠抓工作落实，应急监管体系得到进一步的健全，基层阵地建设得到进一步的夯实，各项工作取得了较好的成效。</w:t>
      </w:r>
      <w:r>
        <w:rPr>
          <w:rFonts w:hint="eastAsia" w:ascii="仿宋" w:hAnsi="仿宋" w:eastAsia="仿宋"/>
          <w:spacing w:val="-2"/>
          <w:sz w:val="32"/>
          <w:szCs w:val="32"/>
        </w:rPr>
        <w:t>严格控制“三公经费”管理，严格公务接待，规范接待标准。</w:t>
      </w:r>
    </w:p>
    <w:p w14:paraId="2202F385">
      <w:pPr>
        <w:widowControl/>
        <w:shd w:val="clear" w:color="auto" w:fill="FFFFFF"/>
        <w:spacing w:line="600" w:lineRule="atLeast"/>
        <w:ind w:firstLine="640"/>
        <w:rPr>
          <w:rFonts w:ascii="仿宋" w:hAnsi="仿宋" w:eastAsia="仿宋"/>
          <w:spacing w:val="-2"/>
          <w:sz w:val="32"/>
          <w:szCs w:val="21"/>
        </w:rPr>
      </w:pPr>
      <w:r>
        <w:rPr>
          <w:rFonts w:hint="default" w:ascii="楷体_GB2312" w:eastAsia="楷体_GB2312" w:cs="楷体_GB2312"/>
          <w:i w:val="0"/>
          <w:iCs w:val="0"/>
          <w:caps w:val="0"/>
          <w:color w:val="000000"/>
          <w:spacing w:val="0"/>
          <w:sz w:val="32"/>
          <w:szCs w:val="32"/>
          <w:shd w:val="clear" w:fill="FFFFFF"/>
        </w:rPr>
        <w:t>（二）评价指标分析</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spacing w:val="-2"/>
          <w:sz w:val="32"/>
          <w:szCs w:val="32"/>
        </w:rPr>
        <w:t>通过建立专项资金管理办法，严格遵循专款专用、独立核算的管理原则。我单位目前对专项资金的管理按照项目支出涉及的经济科目规定，根据财务管理办法的相关制度执行。在资金使用过程中，严把监督审核关，健立健全内部审批制度并做到资金的拨付有完整的审批程序和手续，各项制度执行落实较好，资金使用规范且未发生违纪违法情况。</w:t>
      </w:r>
    </w:p>
    <w:p w14:paraId="7855F41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w:t>
      </w:r>
    </w:p>
    <w:p w14:paraId="2383F9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1E7B08C3">
      <w:pPr>
        <w:widowControl/>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问题：</w:t>
      </w:r>
      <w:r>
        <w:rPr>
          <w:rFonts w:hint="eastAsia" w:ascii="仿宋" w:hAnsi="仿宋" w:eastAsia="仿宋" w:cs="仿宋"/>
          <w:sz w:val="32"/>
          <w:szCs w:val="32"/>
        </w:rPr>
        <w:t>由于202</w:t>
      </w:r>
      <w:r>
        <w:rPr>
          <w:rFonts w:hint="eastAsia" w:ascii="仿宋" w:hAnsi="仿宋" w:eastAsia="仿宋" w:cs="仿宋"/>
          <w:sz w:val="32"/>
          <w:szCs w:val="32"/>
          <w:lang w:val="en-US" w:eastAsia="zh-CN"/>
        </w:rPr>
        <w:t>4</w:t>
      </w:r>
      <w:r>
        <w:rPr>
          <w:rFonts w:hint="eastAsia" w:ascii="仿宋" w:hAnsi="仿宋" w:eastAsia="仿宋" w:cs="仿宋"/>
          <w:sz w:val="32"/>
          <w:szCs w:val="32"/>
        </w:rPr>
        <w:t>年专项资金未能按时全额拨付，故造成专项资金未能完全使用到位。</w:t>
      </w:r>
    </w:p>
    <w:p w14:paraId="36082582">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517E05F2">
      <w:pPr>
        <w:ind w:firstLine="640" w:firstLineChars="200"/>
        <w:rPr>
          <w:rFonts w:ascii="仿宋" w:hAnsi="仿宋" w:eastAsia="仿宋" w:cs="仿宋"/>
          <w:sz w:val="32"/>
          <w:szCs w:val="32"/>
        </w:rPr>
      </w:pPr>
      <w:r>
        <w:rPr>
          <w:rFonts w:hint="eastAsia" w:ascii="仿宋" w:hAnsi="仿宋" w:eastAsia="仿宋" w:cs="仿宋"/>
          <w:sz w:val="32"/>
          <w:szCs w:val="32"/>
        </w:rPr>
        <w:t>1、规范资金使用制度。强化资金管理意识，加强与财政局的沟通，确保及时下达专项资金，合理、科学地使用资金，提高其使用效率。</w:t>
      </w:r>
    </w:p>
    <w:p w14:paraId="56A12EE9">
      <w:pPr>
        <w:ind w:firstLine="640" w:firstLineChars="200"/>
        <w:rPr>
          <w:rFonts w:ascii="仿宋" w:hAnsi="仿宋" w:eastAsia="仿宋" w:cs="仿宋"/>
          <w:sz w:val="32"/>
          <w:szCs w:val="32"/>
        </w:rPr>
      </w:pPr>
      <w:r>
        <w:rPr>
          <w:rFonts w:hint="eastAsia" w:ascii="仿宋" w:hAnsi="仿宋" w:eastAsia="仿宋" w:cs="仿宋"/>
          <w:sz w:val="32"/>
          <w:szCs w:val="32"/>
        </w:rPr>
        <w:t>2、加强管理队伍建设。加强本单位工作人员的专业知识，提努力提升管理人员综合素质，提高实际操作能力，保证财务水平整的不断提高，采取有效的措施合理分配资金使用，提高资金使用率。</w:t>
      </w:r>
    </w:p>
    <w:p w14:paraId="67AC0B00">
      <w:pPr>
        <w:ind w:firstLine="640" w:firstLineChars="200"/>
        <w:rPr>
          <w:rFonts w:ascii="仿宋" w:hAnsi="仿宋" w:eastAsia="仿宋" w:cs="仿宋"/>
          <w:sz w:val="32"/>
          <w:szCs w:val="32"/>
        </w:rPr>
      </w:pPr>
      <w:r>
        <w:rPr>
          <w:rFonts w:hint="eastAsia" w:ascii="仿宋" w:hAnsi="仿宋" w:eastAsia="仿宋" w:cs="仿宋"/>
          <w:sz w:val="32"/>
          <w:szCs w:val="32"/>
        </w:rPr>
        <w:t>3、严格执行资金安排。资金安排结合实际分析研究、科学测算、合理安排，统一支出标准，指标专项专款专用，有效保障各项工作的顺利开展，提高资金使用效率，对资金实施跟踪和预算控制，做到资金科学合理地安排和分配。</w:t>
      </w:r>
    </w:p>
    <w:p w14:paraId="72C1154C">
      <w:pPr>
        <w:ind w:firstLine="640" w:firstLineChars="20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sz w:val="32"/>
          <w:szCs w:val="32"/>
        </w:rPr>
        <w:t>我单位今后将在绩效管理工作中不断进步，加强对资金支出的绩效管理。</w:t>
      </w:r>
    </w:p>
    <w:p w14:paraId="106A32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41696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cs="Times New Roman" w:eastAsiaTheme="minorEastAsia"/>
          <w:i w:val="0"/>
          <w:iCs w:val="0"/>
          <w:caps w:val="0"/>
          <w:color w:val="000000"/>
          <w:spacing w:val="0"/>
          <w:sz w:val="24"/>
          <w:szCs w:val="24"/>
          <w:lang w:eastAsia="zh-CN"/>
        </w:rPr>
      </w:pPr>
      <w:r>
        <w:rPr>
          <w:rFonts w:hint="eastAsia" w:ascii="Times New Roman" w:hAnsi="Times New Roman" w:cs="Times New Roman"/>
          <w:i w:val="0"/>
          <w:iCs w:val="0"/>
          <w:caps w:val="0"/>
          <w:color w:val="000000"/>
          <w:spacing w:val="0"/>
          <w:sz w:val="24"/>
          <w:szCs w:val="24"/>
          <w:lang w:eastAsia="zh-CN"/>
        </w:rPr>
        <w:t>无</w:t>
      </w:r>
    </w:p>
    <w:p w14:paraId="2B381E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395AA2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31A75B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3CD542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66A5D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7B79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2A0B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FE02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7DE2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80885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039390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168875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6A68B17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6A913125">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填报单位：辰溪县人力资源和社会保障局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53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5A787E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C39697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18BAB83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264A58B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3CB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428B38B">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3B0C89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43</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982D7C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44</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DF0B13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eastAsia="zh-CN"/>
              </w:rPr>
              <w:t xml:space="preserve"> </w:t>
            </w:r>
            <w:r>
              <w:rPr>
                <w:rFonts w:hint="eastAsia" w:ascii="仿宋" w:hAnsi="仿宋" w:eastAsia="仿宋" w:cs="仿宋"/>
                <w:b w:val="0"/>
                <w:bCs w:val="0"/>
                <w:kern w:val="0"/>
                <w:sz w:val="20"/>
                <w:szCs w:val="20"/>
                <w:lang w:val="en-US" w:eastAsia="zh-CN"/>
              </w:rPr>
              <w:t>102%</w:t>
            </w:r>
          </w:p>
        </w:tc>
      </w:tr>
      <w:tr w14:paraId="7FD8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8BBEB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12AF48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40C3267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7143CF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6A6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F42135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5B12EB0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0FE2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0BD64D4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639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EA94C8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80B409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E0ED7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B6E1C2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D1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84A03D">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63799F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595B2730">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3B5283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6C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3100EF">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14:paraId="3AB38E0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56208F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69D3C82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5CF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EE85C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7BC47D9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F1D19E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AE040C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55F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E7FF3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14:paraId="5549E77A">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1.19</w:t>
            </w: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01A9015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6</w:t>
            </w: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3D3DEB3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0.77</w:t>
            </w:r>
            <w:r>
              <w:rPr>
                <w:rFonts w:hint="eastAsia" w:ascii="仿宋" w:hAnsi="仿宋" w:eastAsia="仿宋" w:cs="仿宋"/>
                <w:b w:val="0"/>
                <w:bCs w:val="0"/>
                <w:kern w:val="0"/>
                <w:sz w:val="20"/>
                <w:szCs w:val="20"/>
                <w:lang w:eastAsia="zh-CN"/>
              </w:rPr>
              <w:t xml:space="preserve"> </w:t>
            </w:r>
          </w:p>
        </w:tc>
      </w:tr>
      <w:tr w14:paraId="2610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8B849D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19034F56">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273725D2">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43EEB04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345E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7E3A9F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35BACBDC">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49FB16E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546341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146F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454486">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5A3DCBB4">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1B469BAD">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1036721E">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652E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40B3CA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14:paraId="7954756A">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0E56F0DC">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705D392">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7EF72111">
            <w:pPr>
              <w:widowControl/>
              <w:jc w:val="center"/>
              <w:rPr>
                <w:rFonts w:hint="eastAsia" w:ascii="仿宋" w:hAnsi="仿宋" w:eastAsia="仿宋" w:cs="仿宋"/>
                <w:b w:val="0"/>
                <w:bCs w:val="0"/>
                <w:kern w:val="0"/>
                <w:sz w:val="20"/>
                <w:szCs w:val="20"/>
              </w:rPr>
            </w:pPr>
          </w:p>
        </w:tc>
      </w:tr>
      <w:tr w14:paraId="4DFA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713E0C4">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41A2F017">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2240" w:type="dxa"/>
            <w:gridSpan w:val="2"/>
            <w:noWrap w:val="0"/>
            <w:vAlign w:val="center"/>
          </w:tcPr>
          <w:p w14:paraId="6ABBB85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3EFB049">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0408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3020140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6C844A16">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56399D9C">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1E7E8F04">
            <w:pPr>
              <w:widowControl/>
              <w:jc w:val="center"/>
              <w:rPr>
                <w:rFonts w:hint="eastAsia" w:ascii="仿宋" w:hAnsi="仿宋" w:eastAsia="仿宋" w:cs="仿宋"/>
                <w:b w:val="0"/>
                <w:bCs w:val="0"/>
                <w:kern w:val="0"/>
                <w:sz w:val="20"/>
                <w:szCs w:val="20"/>
              </w:rPr>
            </w:pPr>
          </w:p>
        </w:tc>
      </w:tr>
      <w:tr w14:paraId="15B1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1B703F0">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shd w:val="clear" w:color="auto" w:fill="auto"/>
            <w:noWrap w:val="0"/>
            <w:vAlign w:val="center"/>
          </w:tcPr>
          <w:p w14:paraId="5BAAEFCD">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311.03</w:t>
            </w:r>
            <w:r>
              <w:rPr>
                <w:rFonts w:hint="eastAsia" w:ascii="仿宋" w:hAnsi="仿宋" w:eastAsia="仿宋" w:cs="仿宋"/>
                <w:b w:val="0"/>
                <w:bCs w:val="0"/>
                <w:color w:val="auto"/>
                <w:kern w:val="0"/>
                <w:sz w:val="20"/>
                <w:szCs w:val="20"/>
                <w:lang w:eastAsia="zh-CN"/>
              </w:rPr>
              <w:t xml:space="preserve"> </w:t>
            </w:r>
          </w:p>
        </w:tc>
        <w:tc>
          <w:tcPr>
            <w:tcW w:w="2240" w:type="dxa"/>
            <w:gridSpan w:val="2"/>
            <w:shd w:val="clear" w:color="auto" w:fill="auto"/>
            <w:noWrap w:val="0"/>
            <w:vAlign w:val="center"/>
          </w:tcPr>
          <w:p w14:paraId="4C77B4E5">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67.2</w:t>
            </w:r>
          </w:p>
        </w:tc>
        <w:tc>
          <w:tcPr>
            <w:tcW w:w="1832" w:type="dxa"/>
            <w:gridSpan w:val="2"/>
            <w:shd w:val="clear" w:color="auto" w:fill="auto"/>
            <w:noWrap w:val="0"/>
            <w:vAlign w:val="center"/>
          </w:tcPr>
          <w:p w14:paraId="41570E4E">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518.46</w:t>
            </w:r>
            <w:r>
              <w:rPr>
                <w:rFonts w:hint="eastAsia" w:ascii="仿宋" w:hAnsi="仿宋" w:eastAsia="仿宋" w:cs="仿宋"/>
                <w:b w:val="0"/>
                <w:bCs w:val="0"/>
                <w:color w:val="auto"/>
                <w:kern w:val="0"/>
                <w:sz w:val="20"/>
                <w:szCs w:val="20"/>
                <w:lang w:eastAsia="zh-CN"/>
              </w:rPr>
              <w:t xml:space="preserve"> </w:t>
            </w:r>
          </w:p>
        </w:tc>
      </w:tr>
      <w:tr w14:paraId="768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71AE68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4DCA4E65">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38.12</w:t>
            </w:r>
          </w:p>
        </w:tc>
        <w:tc>
          <w:tcPr>
            <w:tcW w:w="2240" w:type="dxa"/>
            <w:gridSpan w:val="2"/>
            <w:shd w:val="clear" w:color="auto" w:fill="auto"/>
            <w:noWrap w:val="0"/>
            <w:vAlign w:val="center"/>
          </w:tcPr>
          <w:p w14:paraId="7031DA3B">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w:t>
            </w:r>
          </w:p>
        </w:tc>
        <w:tc>
          <w:tcPr>
            <w:tcW w:w="1832" w:type="dxa"/>
            <w:gridSpan w:val="2"/>
            <w:shd w:val="clear" w:color="auto" w:fill="auto"/>
            <w:noWrap w:val="0"/>
            <w:vAlign w:val="center"/>
          </w:tcPr>
          <w:p w14:paraId="6E811BB0">
            <w:pPr>
              <w:widowControl/>
              <w:jc w:val="center"/>
              <w:rPr>
                <w:rFonts w:hint="eastAsia"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41.54</w:t>
            </w:r>
            <w:r>
              <w:rPr>
                <w:rFonts w:hint="eastAsia" w:ascii="仿宋" w:hAnsi="仿宋" w:eastAsia="仿宋" w:cs="仿宋"/>
                <w:b w:val="0"/>
                <w:bCs w:val="0"/>
                <w:color w:val="auto"/>
                <w:kern w:val="0"/>
                <w:sz w:val="20"/>
                <w:szCs w:val="20"/>
                <w:lang w:eastAsia="zh-CN"/>
              </w:rPr>
              <w:t xml:space="preserve"> </w:t>
            </w:r>
          </w:p>
        </w:tc>
      </w:tr>
      <w:tr w14:paraId="5E4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457794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7CA7D6E9">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35.62</w:t>
            </w:r>
          </w:p>
        </w:tc>
        <w:tc>
          <w:tcPr>
            <w:tcW w:w="2240" w:type="dxa"/>
            <w:gridSpan w:val="2"/>
            <w:shd w:val="clear" w:color="auto" w:fill="auto"/>
            <w:noWrap w:val="0"/>
            <w:vAlign w:val="center"/>
          </w:tcPr>
          <w:p w14:paraId="39D0C2A2">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eastAsia="zh-CN"/>
              </w:rPr>
              <w:t xml:space="preserve"> </w:t>
            </w:r>
            <w:r>
              <w:rPr>
                <w:rFonts w:hint="eastAsia" w:ascii="仿宋" w:hAnsi="仿宋" w:eastAsia="仿宋" w:cs="仿宋"/>
                <w:b w:val="0"/>
                <w:bCs w:val="0"/>
                <w:color w:val="auto"/>
                <w:kern w:val="0"/>
                <w:sz w:val="20"/>
                <w:szCs w:val="20"/>
                <w:lang w:val="en-US" w:eastAsia="zh-CN"/>
              </w:rPr>
              <w:t>22</w:t>
            </w:r>
          </w:p>
        </w:tc>
        <w:tc>
          <w:tcPr>
            <w:tcW w:w="1832" w:type="dxa"/>
            <w:gridSpan w:val="2"/>
            <w:shd w:val="clear" w:color="auto" w:fill="auto"/>
            <w:noWrap w:val="0"/>
            <w:vAlign w:val="center"/>
          </w:tcPr>
          <w:p w14:paraId="002C4BAE">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28.6</w:t>
            </w:r>
          </w:p>
        </w:tc>
      </w:tr>
      <w:tr w14:paraId="13BE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77E49DA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4ED79638">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lang w:eastAsia="zh-CN"/>
              </w:rPr>
              <w:t xml:space="preserve"> </w:t>
            </w:r>
          </w:p>
        </w:tc>
        <w:tc>
          <w:tcPr>
            <w:tcW w:w="2240" w:type="dxa"/>
            <w:gridSpan w:val="2"/>
            <w:noWrap w:val="0"/>
            <w:vAlign w:val="center"/>
          </w:tcPr>
          <w:p w14:paraId="2D0A86B0">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0</w:t>
            </w:r>
          </w:p>
        </w:tc>
        <w:tc>
          <w:tcPr>
            <w:tcW w:w="1832" w:type="dxa"/>
            <w:gridSpan w:val="2"/>
            <w:noWrap w:val="0"/>
            <w:vAlign w:val="center"/>
          </w:tcPr>
          <w:p w14:paraId="06B7C78F">
            <w:pPr>
              <w:widowControl/>
              <w:jc w:val="center"/>
              <w:rPr>
                <w:rFonts w:hint="default" w:ascii="仿宋" w:hAnsi="仿宋" w:eastAsia="仿宋" w:cs="仿宋"/>
                <w:b w:val="0"/>
                <w:bCs w:val="0"/>
                <w:color w:val="auto"/>
                <w:kern w:val="0"/>
                <w:sz w:val="20"/>
                <w:szCs w:val="20"/>
                <w:lang w:val="en-US" w:eastAsia="zh-CN"/>
              </w:rPr>
            </w:pPr>
            <w:r>
              <w:rPr>
                <w:rFonts w:hint="eastAsia" w:ascii="仿宋" w:hAnsi="仿宋" w:eastAsia="仿宋" w:cs="仿宋"/>
                <w:b w:val="0"/>
                <w:bCs w:val="0"/>
                <w:color w:val="auto"/>
                <w:kern w:val="0"/>
                <w:sz w:val="20"/>
                <w:szCs w:val="20"/>
                <w:lang w:val="en-US" w:eastAsia="zh-CN"/>
              </w:rPr>
              <w:t>1.21</w:t>
            </w:r>
          </w:p>
        </w:tc>
      </w:tr>
      <w:tr w14:paraId="40B1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8D0E36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4B80A9DE">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rPr>
              <w:t>——</w:t>
            </w:r>
          </w:p>
        </w:tc>
        <w:tc>
          <w:tcPr>
            <w:tcW w:w="2240" w:type="dxa"/>
            <w:gridSpan w:val="2"/>
            <w:noWrap w:val="0"/>
            <w:vAlign w:val="center"/>
          </w:tcPr>
          <w:p w14:paraId="460EBF24">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 xml:space="preserve"> </w:t>
            </w:r>
          </w:p>
        </w:tc>
        <w:tc>
          <w:tcPr>
            <w:tcW w:w="1832" w:type="dxa"/>
            <w:gridSpan w:val="2"/>
            <w:noWrap w:val="0"/>
            <w:vAlign w:val="center"/>
          </w:tcPr>
          <w:p w14:paraId="5194625C">
            <w:pPr>
              <w:widowControl/>
              <w:jc w:val="center"/>
              <w:rPr>
                <w:rFonts w:hint="eastAsia" w:ascii="仿宋" w:hAnsi="仿宋" w:eastAsia="仿宋" w:cs="仿宋"/>
                <w:b w:val="0"/>
                <w:bCs w:val="0"/>
                <w:color w:val="auto"/>
                <w:kern w:val="0"/>
                <w:sz w:val="20"/>
                <w:szCs w:val="20"/>
                <w:lang w:eastAsia="zh-CN"/>
              </w:rPr>
            </w:pPr>
            <w:r>
              <w:rPr>
                <w:rFonts w:hint="eastAsia" w:ascii="仿宋" w:hAnsi="仿宋" w:eastAsia="仿宋" w:cs="仿宋"/>
                <w:b w:val="0"/>
                <w:bCs w:val="0"/>
                <w:color w:val="auto"/>
                <w:kern w:val="0"/>
                <w:sz w:val="20"/>
                <w:szCs w:val="20"/>
                <w:lang w:eastAsia="zh-CN"/>
              </w:rPr>
              <w:t xml:space="preserve"> </w:t>
            </w:r>
          </w:p>
        </w:tc>
      </w:tr>
      <w:tr w14:paraId="148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8E45FF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73D5D4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ACCFAD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832" w:type="dxa"/>
            <w:gridSpan w:val="2"/>
            <w:noWrap w:val="0"/>
            <w:vAlign w:val="center"/>
          </w:tcPr>
          <w:p w14:paraId="25139111">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2749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3AFB9065">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14:paraId="60BC675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1E7A49AB">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77F6E1A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251E5ED1">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B34148C">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61638E13">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658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EEC19E2">
            <w:pPr>
              <w:widowControl/>
              <w:jc w:val="left"/>
              <w:rPr>
                <w:rFonts w:hint="eastAsia" w:ascii="仿宋" w:hAnsi="仿宋" w:eastAsia="仿宋" w:cs="仿宋"/>
                <w:b w:val="0"/>
                <w:bCs w:val="0"/>
                <w:kern w:val="0"/>
                <w:sz w:val="20"/>
                <w:szCs w:val="20"/>
              </w:rPr>
            </w:pPr>
          </w:p>
        </w:tc>
        <w:tc>
          <w:tcPr>
            <w:tcW w:w="1189" w:type="dxa"/>
            <w:noWrap w:val="0"/>
            <w:vAlign w:val="center"/>
          </w:tcPr>
          <w:p w14:paraId="3CC7CA53">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49" w:type="dxa"/>
            <w:noWrap w:val="0"/>
            <w:vAlign w:val="center"/>
          </w:tcPr>
          <w:p w14:paraId="6EB03040">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29" w:type="dxa"/>
            <w:noWrap w:val="0"/>
            <w:vAlign w:val="center"/>
          </w:tcPr>
          <w:p w14:paraId="790C9CA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1111" w:type="dxa"/>
            <w:noWrap w:val="0"/>
            <w:vAlign w:val="center"/>
          </w:tcPr>
          <w:p w14:paraId="647F2607">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969" w:type="dxa"/>
            <w:noWrap w:val="0"/>
            <w:vAlign w:val="center"/>
          </w:tcPr>
          <w:p w14:paraId="113A5CA5">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c>
          <w:tcPr>
            <w:tcW w:w="863" w:type="dxa"/>
            <w:noWrap w:val="0"/>
            <w:vAlign w:val="center"/>
          </w:tcPr>
          <w:p w14:paraId="75713BB4">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r w14:paraId="70E1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37D280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6170E9A8">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eastAsia="zh-CN"/>
              </w:rPr>
              <w:t xml:space="preserve"> </w:t>
            </w:r>
          </w:p>
        </w:tc>
      </w:tr>
    </w:tbl>
    <w:p w14:paraId="46A57ADC">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7622C53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宋青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2025年5月14日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18774780799 </w:t>
      </w:r>
    </w:p>
    <w:p w14:paraId="49E54E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44012FB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27"/>
        <w:gridCol w:w="1335"/>
        <w:gridCol w:w="1041"/>
        <w:gridCol w:w="954"/>
        <w:gridCol w:w="1005"/>
        <w:gridCol w:w="687"/>
        <w:gridCol w:w="660"/>
        <w:gridCol w:w="1437"/>
      </w:tblGrid>
      <w:tr w14:paraId="788C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16" w:type="dxa"/>
            <w:noWrap w:val="0"/>
            <w:vAlign w:val="center"/>
          </w:tcPr>
          <w:p w14:paraId="2386B3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46" w:type="dxa"/>
            <w:gridSpan w:val="8"/>
            <w:noWrap w:val="0"/>
            <w:vAlign w:val="center"/>
          </w:tcPr>
          <w:p w14:paraId="5872D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辰溪县人力资源和社会保障局 </w:t>
            </w:r>
          </w:p>
        </w:tc>
      </w:tr>
      <w:tr w14:paraId="3271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16" w:type="dxa"/>
            <w:vMerge w:val="restart"/>
            <w:noWrap w:val="0"/>
            <w:vAlign w:val="center"/>
          </w:tcPr>
          <w:p w14:paraId="5CA5BA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年度预算申请</w:t>
            </w:r>
          </w:p>
          <w:p w14:paraId="172207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（万元）</w:t>
            </w:r>
          </w:p>
        </w:tc>
        <w:tc>
          <w:tcPr>
            <w:tcW w:w="2462" w:type="dxa"/>
            <w:gridSpan w:val="2"/>
            <w:noWrap w:val="0"/>
            <w:vAlign w:val="center"/>
          </w:tcPr>
          <w:p w14:paraId="25560B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1041" w:type="dxa"/>
            <w:noWrap w:val="0"/>
            <w:vAlign w:val="center"/>
          </w:tcPr>
          <w:p w14:paraId="587A9F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40125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954" w:type="dxa"/>
            <w:noWrap w:val="0"/>
            <w:vAlign w:val="center"/>
          </w:tcPr>
          <w:p w14:paraId="1CDF5D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05" w:type="dxa"/>
            <w:noWrap w:val="0"/>
            <w:vAlign w:val="center"/>
          </w:tcPr>
          <w:p w14:paraId="57E07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全年执行数</w:t>
            </w:r>
          </w:p>
        </w:tc>
        <w:tc>
          <w:tcPr>
            <w:tcW w:w="687" w:type="dxa"/>
            <w:noWrap w:val="0"/>
            <w:vAlign w:val="center"/>
          </w:tcPr>
          <w:p w14:paraId="1517F8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660" w:type="dxa"/>
            <w:noWrap w:val="0"/>
            <w:vAlign w:val="center"/>
          </w:tcPr>
          <w:p w14:paraId="331638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37" w:type="dxa"/>
            <w:noWrap w:val="0"/>
            <w:vAlign w:val="center"/>
          </w:tcPr>
          <w:p w14:paraId="218F1F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9A8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27016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462" w:type="dxa"/>
            <w:gridSpan w:val="2"/>
            <w:noWrap w:val="0"/>
            <w:vAlign w:val="center"/>
          </w:tcPr>
          <w:p w14:paraId="37CD56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1041" w:type="dxa"/>
            <w:noWrap w:val="0"/>
            <w:vAlign w:val="center"/>
          </w:tcPr>
          <w:p w14:paraId="0FA6DC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936.67</w:t>
            </w:r>
          </w:p>
        </w:tc>
        <w:tc>
          <w:tcPr>
            <w:tcW w:w="954" w:type="dxa"/>
            <w:noWrap w:val="0"/>
            <w:vAlign w:val="center"/>
          </w:tcPr>
          <w:p w14:paraId="50165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1177.69</w:t>
            </w:r>
          </w:p>
        </w:tc>
        <w:tc>
          <w:tcPr>
            <w:tcW w:w="1005" w:type="dxa"/>
            <w:noWrap w:val="0"/>
            <w:vAlign w:val="center"/>
          </w:tcPr>
          <w:p w14:paraId="7781B1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1177.69</w:t>
            </w:r>
          </w:p>
        </w:tc>
        <w:tc>
          <w:tcPr>
            <w:tcW w:w="687" w:type="dxa"/>
            <w:noWrap w:val="0"/>
            <w:vAlign w:val="center"/>
          </w:tcPr>
          <w:p w14:paraId="245BDD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660" w:type="dxa"/>
            <w:noWrap w:val="0"/>
            <w:vAlign w:val="center"/>
          </w:tcPr>
          <w:p w14:paraId="104BA1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437" w:type="dxa"/>
            <w:noWrap w:val="0"/>
            <w:vAlign w:val="center"/>
          </w:tcPr>
          <w:p w14:paraId="2A6B2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790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608630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7" w:type="dxa"/>
            <w:gridSpan w:val="4"/>
            <w:noWrap w:val="0"/>
            <w:vAlign w:val="center"/>
          </w:tcPr>
          <w:p w14:paraId="088B22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89" w:type="dxa"/>
            <w:gridSpan w:val="4"/>
            <w:noWrap w:val="0"/>
            <w:vAlign w:val="center"/>
          </w:tcPr>
          <w:p w14:paraId="45A12D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A22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4E441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7" w:type="dxa"/>
            <w:gridSpan w:val="4"/>
            <w:noWrap w:val="0"/>
            <w:vAlign w:val="center"/>
          </w:tcPr>
          <w:p w14:paraId="03F2A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1177.69</w:t>
            </w:r>
          </w:p>
        </w:tc>
        <w:tc>
          <w:tcPr>
            <w:tcW w:w="3789" w:type="dxa"/>
            <w:gridSpan w:val="4"/>
            <w:noWrap w:val="0"/>
            <w:vAlign w:val="center"/>
          </w:tcPr>
          <w:p w14:paraId="293BC3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1006.91</w:t>
            </w:r>
          </w:p>
        </w:tc>
      </w:tr>
      <w:tr w14:paraId="5C1F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043DD3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7" w:type="dxa"/>
            <w:gridSpan w:val="4"/>
            <w:noWrap w:val="0"/>
            <w:vAlign w:val="center"/>
          </w:tcPr>
          <w:p w14:paraId="2AF5F16E">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89" w:type="dxa"/>
            <w:gridSpan w:val="4"/>
            <w:noWrap w:val="0"/>
            <w:vAlign w:val="center"/>
          </w:tcPr>
          <w:p w14:paraId="6E665E1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170.78</w:t>
            </w:r>
            <w:bookmarkStart w:id="0" w:name="_GoBack"/>
            <w:bookmarkEnd w:id="0"/>
          </w:p>
        </w:tc>
      </w:tr>
      <w:tr w14:paraId="1173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0DA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7" w:type="dxa"/>
            <w:gridSpan w:val="4"/>
            <w:noWrap w:val="0"/>
            <w:vAlign w:val="center"/>
          </w:tcPr>
          <w:p w14:paraId="369D6D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89" w:type="dxa"/>
            <w:gridSpan w:val="4"/>
            <w:noWrap w:val="0"/>
            <w:vAlign w:val="center"/>
          </w:tcPr>
          <w:p w14:paraId="2FC847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7BD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 w:type="dxa"/>
            <w:vMerge w:val="continue"/>
            <w:noWrap w:val="0"/>
            <w:vAlign w:val="center"/>
          </w:tcPr>
          <w:p w14:paraId="4CF314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57" w:type="dxa"/>
            <w:gridSpan w:val="4"/>
            <w:noWrap w:val="0"/>
            <w:vAlign w:val="center"/>
          </w:tcPr>
          <w:p w14:paraId="1902D710">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89" w:type="dxa"/>
            <w:gridSpan w:val="4"/>
            <w:noWrap w:val="0"/>
            <w:vAlign w:val="center"/>
          </w:tcPr>
          <w:p w14:paraId="74BBEA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592A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restart"/>
            <w:noWrap w:val="0"/>
            <w:vAlign w:val="center"/>
          </w:tcPr>
          <w:p w14:paraId="65A00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57" w:type="dxa"/>
            <w:gridSpan w:val="4"/>
            <w:noWrap w:val="0"/>
            <w:vAlign w:val="center"/>
          </w:tcPr>
          <w:p w14:paraId="422BBC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89" w:type="dxa"/>
            <w:gridSpan w:val="4"/>
            <w:noWrap w:val="0"/>
            <w:vAlign w:val="center"/>
          </w:tcPr>
          <w:p w14:paraId="254871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实际完成情况</w:t>
            </w:r>
            <w:r>
              <w:rPr>
                <w:rFonts w:hint="eastAsia" w:ascii="仿宋" w:hAnsi="仿宋" w:eastAsia="仿宋" w:cs="仿宋"/>
                <w:color w:val="000000"/>
                <w:kern w:val="0"/>
                <w:sz w:val="20"/>
                <w:szCs w:val="20"/>
                <w:lang w:eastAsia="zh-CN"/>
              </w:rPr>
              <w:t xml:space="preserve"> </w:t>
            </w:r>
          </w:p>
        </w:tc>
      </w:tr>
      <w:tr w14:paraId="15BE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16" w:type="dxa"/>
            <w:vMerge w:val="continue"/>
            <w:noWrap w:val="0"/>
            <w:vAlign w:val="center"/>
          </w:tcPr>
          <w:p w14:paraId="1DBA05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8246" w:type="dxa"/>
            <w:gridSpan w:val="8"/>
            <w:noWrap w:val="0"/>
            <w:vAlign w:val="center"/>
          </w:tcPr>
          <w:p w14:paraId="461DE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突出稳就业这一中心工作，深化社会保障、人才人事、绩效评估大三改革，实施就业创业、社会保障、劳动关系、人事人才、就业帮扶和民生实事等重大行动。围绕这一中心工作，全县人社系统，坚持新发展理念，贯彻高质量发展要求，坚持人才优先、民生为本，促发展与惠民生相结合，扎实做好各项人社工作。</w:t>
            </w:r>
          </w:p>
        </w:tc>
      </w:tr>
      <w:tr w14:paraId="316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16" w:type="dxa"/>
            <w:vMerge w:val="restart"/>
            <w:noWrap w:val="0"/>
            <w:vAlign w:val="center"/>
          </w:tcPr>
          <w:p w14:paraId="16A641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76AC90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239710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0CAD9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27" w:type="dxa"/>
            <w:noWrap w:val="0"/>
            <w:vAlign w:val="center"/>
          </w:tcPr>
          <w:p w14:paraId="2CB3C3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335" w:type="dxa"/>
            <w:noWrap w:val="0"/>
            <w:vAlign w:val="center"/>
          </w:tcPr>
          <w:p w14:paraId="14E7D6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41" w:type="dxa"/>
            <w:noWrap w:val="0"/>
            <w:vAlign w:val="center"/>
          </w:tcPr>
          <w:p w14:paraId="61ED3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54" w:type="dxa"/>
            <w:noWrap w:val="0"/>
            <w:vAlign w:val="center"/>
          </w:tcPr>
          <w:p w14:paraId="2B351D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年度指标值</w:t>
            </w:r>
          </w:p>
        </w:tc>
        <w:tc>
          <w:tcPr>
            <w:tcW w:w="1005" w:type="dxa"/>
            <w:noWrap w:val="0"/>
            <w:vAlign w:val="center"/>
          </w:tcPr>
          <w:p w14:paraId="0230B6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实际完成值</w:t>
            </w:r>
          </w:p>
        </w:tc>
        <w:tc>
          <w:tcPr>
            <w:tcW w:w="687" w:type="dxa"/>
            <w:noWrap w:val="0"/>
            <w:vAlign w:val="center"/>
          </w:tcPr>
          <w:p w14:paraId="63E9B0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660" w:type="dxa"/>
            <w:noWrap w:val="0"/>
            <w:vAlign w:val="center"/>
          </w:tcPr>
          <w:p w14:paraId="2C5B26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37" w:type="dxa"/>
            <w:noWrap w:val="0"/>
            <w:vAlign w:val="top"/>
          </w:tcPr>
          <w:p w14:paraId="29DB35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14:paraId="25BA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76D82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restart"/>
            <w:noWrap w:val="0"/>
            <w:vAlign w:val="center"/>
          </w:tcPr>
          <w:p w14:paraId="5A90061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14:paraId="58911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w:t>
            </w:r>
            <w:r>
              <w:rPr>
                <w:rFonts w:hint="eastAsia" w:ascii="仿宋" w:hAnsi="仿宋" w:eastAsia="仿宋" w:cs="仿宋"/>
                <w:color w:val="000000"/>
                <w:kern w:val="0"/>
                <w:sz w:val="20"/>
                <w:szCs w:val="20"/>
              </w:rPr>
              <w:t>0分)</w:t>
            </w:r>
          </w:p>
        </w:tc>
        <w:tc>
          <w:tcPr>
            <w:tcW w:w="1335" w:type="dxa"/>
            <w:shd w:val="clear" w:color="auto" w:fill="auto"/>
            <w:noWrap w:val="0"/>
            <w:vAlign w:val="top"/>
          </w:tcPr>
          <w:p w14:paraId="649D74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041" w:type="dxa"/>
            <w:noWrap w:val="0"/>
            <w:vAlign w:val="center"/>
          </w:tcPr>
          <w:p w14:paraId="7CACEC19">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部门预算支出金额</w:t>
            </w:r>
          </w:p>
        </w:tc>
        <w:tc>
          <w:tcPr>
            <w:tcW w:w="954" w:type="dxa"/>
            <w:noWrap w:val="0"/>
            <w:vAlign w:val="center"/>
          </w:tcPr>
          <w:p w14:paraId="081490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936.67</w:t>
            </w:r>
          </w:p>
        </w:tc>
        <w:tc>
          <w:tcPr>
            <w:tcW w:w="1005" w:type="dxa"/>
            <w:noWrap w:val="0"/>
            <w:vAlign w:val="center"/>
          </w:tcPr>
          <w:p w14:paraId="1A9E14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1177.69</w:t>
            </w:r>
          </w:p>
        </w:tc>
        <w:tc>
          <w:tcPr>
            <w:tcW w:w="687" w:type="dxa"/>
            <w:noWrap w:val="0"/>
            <w:vAlign w:val="center"/>
          </w:tcPr>
          <w:p w14:paraId="40C3BC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5DFE32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7.5</w:t>
            </w:r>
          </w:p>
        </w:tc>
        <w:tc>
          <w:tcPr>
            <w:tcW w:w="1437" w:type="dxa"/>
            <w:noWrap w:val="0"/>
            <w:vAlign w:val="center"/>
          </w:tcPr>
          <w:p w14:paraId="735DA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人员变动，工资普调等原因造成实际值大于年初预算数</w:t>
            </w:r>
          </w:p>
        </w:tc>
      </w:tr>
      <w:tr w14:paraId="6AA9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9D909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702104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shd w:val="clear" w:color="auto" w:fill="auto"/>
            <w:noWrap w:val="0"/>
            <w:vAlign w:val="top"/>
          </w:tcPr>
          <w:p w14:paraId="17AC76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41" w:type="dxa"/>
            <w:noWrap w:val="0"/>
            <w:vAlign w:val="center"/>
          </w:tcPr>
          <w:p w14:paraId="46E2B9CB">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社会成本节约率</w:t>
            </w:r>
          </w:p>
        </w:tc>
        <w:tc>
          <w:tcPr>
            <w:tcW w:w="954" w:type="dxa"/>
            <w:noWrap w:val="0"/>
            <w:vAlign w:val="center"/>
          </w:tcPr>
          <w:p w14:paraId="40114E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5" w:type="dxa"/>
            <w:noWrap w:val="0"/>
            <w:vAlign w:val="center"/>
          </w:tcPr>
          <w:p w14:paraId="556713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87" w:type="dxa"/>
            <w:noWrap w:val="0"/>
            <w:vAlign w:val="center"/>
          </w:tcPr>
          <w:p w14:paraId="43E18D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8CAF9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5DAC93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2A3E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6" w:type="dxa"/>
            <w:vMerge w:val="continue"/>
            <w:noWrap w:val="0"/>
            <w:vAlign w:val="center"/>
          </w:tcPr>
          <w:p w14:paraId="4E4F3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5349CE2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shd w:val="clear" w:color="auto" w:fill="auto"/>
            <w:noWrap w:val="0"/>
            <w:vAlign w:val="top"/>
          </w:tcPr>
          <w:p w14:paraId="1E5185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生态环境成本指标</w:t>
            </w:r>
          </w:p>
        </w:tc>
        <w:tc>
          <w:tcPr>
            <w:tcW w:w="1041" w:type="dxa"/>
            <w:noWrap w:val="0"/>
            <w:vAlign w:val="center"/>
          </w:tcPr>
          <w:p w14:paraId="2EEEB003">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生态环境成本节约率</w:t>
            </w:r>
          </w:p>
        </w:tc>
        <w:tc>
          <w:tcPr>
            <w:tcW w:w="954" w:type="dxa"/>
            <w:noWrap w:val="0"/>
            <w:vAlign w:val="center"/>
          </w:tcPr>
          <w:p w14:paraId="3E8D02F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05" w:type="dxa"/>
            <w:noWrap w:val="0"/>
            <w:vAlign w:val="center"/>
          </w:tcPr>
          <w:p w14:paraId="2BB963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687" w:type="dxa"/>
            <w:noWrap w:val="0"/>
            <w:vAlign w:val="center"/>
          </w:tcPr>
          <w:p w14:paraId="1A0288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6E142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5F65AA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3A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6" w:type="dxa"/>
            <w:vMerge w:val="continue"/>
            <w:noWrap w:val="0"/>
            <w:vAlign w:val="center"/>
          </w:tcPr>
          <w:p w14:paraId="524D13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restart"/>
            <w:noWrap w:val="0"/>
            <w:vAlign w:val="center"/>
          </w:tcPr>
          <w:p w14:paraId="411638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1737AD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35</w:t>
            </w:r>
            <w:r>
              <w:rPr>
                <w:rFonts w:hint="eastAsia" w:ascii="仿宋" w:hAnsi="仿宋" w:eastAsia="仿宋" w:cs="仿宋"/>
                <w:color w:val="000000"/>
                <w:kern w:val="0"/>
                <w:sz w:val="20"/>
                <w:szCs w:val="20"/>
              </w:rPr>
              <w:t>分)</w:t>
            </w:r>
          </w:p>
        </w:tc>
        <w:tc>
          <w:tcPr>
            <w:tcW w:w="1335" w:type="dxa"/>
            <w:noWrap w:val="0"/>
            <w:vAlign w:val="center"/>
          </w:tcPr>
          <w:p w14:paraId="4154D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开展事业单位公开招聘场次</w:t>
            </w:r>
          </w:p>
        </w:tc>
        <w:tc>
          <w:tcPr>
            <w:tcW w:w="1041" w:type="dxa"/>
            <w:noWrap w:val="0"/>
            <w:vAlign w:val="center"/>
          </w:tcPr>
          <w:p w14:paraId="6324CAC0">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仿宋_GB2312" w:hAnsi="宋体" w:eastAsia="仿宋_GB2312" w:cs="仿宋_GB2312"/>
                <w:i w:val="0"/>
                <w:iCs w:val="0"/>
                <w:color w:val="000000"/>
                <w:kern w:val="0"/>
                <w:sz w:val="20"/>
                <w:szCs w:val="20"/>
                <w:u w:val="none"/>
                <w:lang w:val="en-US" w:eastAsia="zh-CN" w:bidi="ar"/>
              </w:rPr>
              <w:t>考核开展事业单位公开招聘场次。</w:t>
            </w:r>
          </w:p>
        </w:tc>
        <w:tc>
          <w:tcPr>
            <w:tcW w:w="954" w:type="dxa"/>
            <w:noWrap w:val="0"/>
            <w:vAlign w:val="center"/>
          </w:tcPr>
          <w:p w14:paraId="458EF9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3FA84C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05" w:type="dxa"/>
            <w:noWrap w:val="0"/>
            <w:vAlign w:val="center"/>
          </w:tcPr>
          <w:p w14:paraId="7E8E30B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492FF7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687" w:type="dxa"/>
            <w:noWrap w:val="0"/>
            <w:vAlign w:val="center"/>
          </w:tcPr>
          <w:p w14:paraId="5D0199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905D2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1A0BBA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p w14:paraId="3189C5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437" w:type="dxa"/>
            <w:noWrap w:val="0"/>
            <w:vAlign w:val="center"/>
          </w:tcPr>
          <w:p w14:paraId="160569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1BE5D1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20F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6" w:type="dxa"/>
            <w:vMerge w:val="continue"/>
            <w:noWrap w:val="0"/>
            <w:vAlign w:val="center"/>
          </w:tcPr>
          <w:p w14:paraId="2E77AB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72A2BB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noWrap w:val="0"/>
            <w:vAlign w:val="center"/>
          </w:tcPr>
          <w:p w14:paraId="31CF7D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补贴华中内养人员人数</w:t>
            </w:r>
          </w:p>
        </w:tc>
        <w:tc>
          <w:tcPr>
            <w:tcW w:w="1041" w:type="dxa"/>
            <w:noWrap w:val="0"/>
            <w:vAlign w:val="center"/>
          </w:tcPr>
          <w:p w14:paraId="15DF59C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考核补贴华中内养人员人数。</w:t>
            </w:r>
          </w:p>
        </w:tc>
        <w:tc>
          <w:tcPr>
            <w:tcW w:w="954" w:type="dxa"/>
            <w:noWrap w:val="0"/>
            <w:vAlign w:val="center"/>
          </w:tcPr>
          <w:p w14:paraId="5376B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19A9B0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05" w:type="dxa"/>
            <w:noWrap w:val="0"/>
            <w:vAlign w:val="center"/>
          </w:tcPr>
          <w:p w14:paraId="6F5D5E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131F35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687" w:type="dxa"/>
            <w:noWrap w:val="0"/>
            <w:vAlign w:val="center"/>
          </w:tcPr>
          <w:p w14:paraId="32CF94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7BA438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6DBC09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2098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6" w:type="dxa"/>
            <w:vMerge w:val="continue"/>
            <w:noWrap w:val="0"/>
            <w:vAlign w:val="center"/>
          </w:tcPr>
          <w:p w14:paraId="0925B0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71B18B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noWrap w:val="0"/>
            <w:vAlign w:val="center"/>
          </w:tcPr>
          <w:p w14:paraId="3B82E9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处理案件数</w:t>
            </w:r>
          </w:p>
        </w:tc>
        <w:tc>
          <w:tcPr>
            <w:tcW w:w="1041" w:type="dxa"/>
            <w:noWrap w:val="0"/>
            <w:vAlign w:val="center"/>
          </w:tcPr>
          <w:p w14:paraId="4EDF84B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考核处理各类劳动举报投诉欠薪、调节纠纷、未成年保护、女职工维权案件数量。</w:t>
            </w:r>
          </w:p>
        </w:tc>
        <w:tc>
          <w:tcPr>
            <w:tcW w:w="954" w:type="dxa"/>
            <w:noWrap w:val="0"/>
            <w:vAlign w:val="center"/>
          </w:tcPr>
          <w:p w14:paraId="40A0E2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6A3F52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05" w:type="dxa"/>
            <w:noWrap w:val="0"/>
            <w:vAlign w:val="center"/>
          </w:tcPr>
          <w:p w14:paraId="7338D0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4413E6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687" w:type="dxa"/>
            <w:noWrap w:val="0"/>
            <w:vAlign w:val="center"/>
          </w:tcPr>
          <w:p w14:paraId="3728D617">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4384AD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0E527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3DAE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6" w:type="dxa"/>
            <w:vMerge w:val="continue"/>
            <w:noWrap w:val="0"/>
            <w:vAlign w:val="center"/>
          </w:tcPr>
          <w:p w14:paraId="5A6C5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5856AF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noWrap w:val="0"/>
            <w:vAlign w:val="center"/>
          </w:tcPr>
          <w:p w14:paraId="1E7491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慰问全县困难职工人数</w:t>
            </w:r>
          </w:p>
        </w:tc>
        <w:tc>
          <w:tcPr>
            <w:tcW w:w="1041" w:type="dxa"/>
            <w:noWrap w:val="0"/>
            <w:vAlign w:val="center"/>
          </w:tcPr>
          <w:p w14:paraId="5CC9EA5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考核完成慰问全县困难职工人数</w:t>
            </w:r>
          </w:p>
        </w:tc>
        <w:tc>
          <w:tcPr>
            <w:tcW w:w="954" w:type="dxa"/>
            <w:noWrap w:val="0"/>
            <w:vAlign w:val="center"/>
          </w:tcPr>
          <w:p w14:paraId="4F1F7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4B5817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005" w:type="dxa"/>
            <w:noWrap w:val="0"/>
            <w:vAlign w:val="center"/>
          </w:tcPr>
          <w:p w14:paraId="0A51AD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0F7867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687" w:type="dxa"/>
            <w:noWrap w:val="0"/>
            <w:vAlign w:val="center"/>
          </w:tcPr>
          <w:p w14:paraId="639576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63BDFB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0ADA44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65024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16" w:type="dxa"/>
            <w:vMerge w:val="continue"/>
            <w:noWrap w:val="0"/>
            <w:vAlign w:val="center"/>
          </w:tcPr>
          <w:p w14:paraId="53A956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5CFC2D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335" w:type="dxa"/>
            <w:noWrap w:val="0"/>
            <w:vAlign w:val="center"/>
          </w:tcPr>
          <w:p w14:paraId="2472FE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社保基金安全管理防风险堵漏洞联点督查乡镇数</w:t>
            </w:r>
          </w:p>
        </w:tc>
        <w:tc>
          <w:tcPr>
            <w:tcW w:w="1041" w:type="dxa"/>
            <w:noWrap w:val="0"/>
            <w:vAlign w:val="center"/>
          </w:tcPr>
          <w:p w14:paraId="0539F7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督查全县乡镇基金安全管理联点</w:t>
            </w:r>
          </w:p>
        </w:tc>
        <w:tc>
          <w:tcPr>
            <w:tcW w:w="954" w:type="dxa"/>
            <w:shd w:val="clear" w:color="auto" w:fill="auto"/>
            <w:noWrap w:val="0"/>
            <w:vAlign w:val="center"/>
          </w:tcPr>
          <w:p w14:paraId="279E22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751EBB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005" w:type="dxa"/>
            <w:shd w:val="clear" w:color="auto" w:fill="auto"/>
            <w:noWrap w:val="0"/>
            <w:vAlign w:val="center"/>
          </w:tcPr>
          <w:p w14:paraId="5A18C4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4004AC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687" w:type="dxa"/>
            <w:noWrap w:val="0"/>
            <w:vAlign w:val="center"/>
          </w:tcPr>
          <w:p w14:paraId="37800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E6633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6A8D90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6020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6" w:type="dxa"/>
            <w:vMerge w:val="continue"/>
            <w:noWrap w:val="0"/>
            <w:vAlign w:val="center"/>
          </w:tcPr>
          <w:p w14:paraId="5D8C7E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24CE6A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35" w:type="dxa"/>
            <w:noWrap w:val="0"/>
            <w:vAlign w:val="center"/>
          </w:tcPr>
          <w:p w14:paraId="1073AB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041" w:type="dxa"/>
            <w:noWrap w:val="0"/>
            <w:vAlign w:val="center"/>
          </w:tcPr>
          <w:p w14:paraId="53954F54">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补助标准按规定执行率</w:t>
            </w:r>
          </w:p>
        </w:tc>
        <w:tc>
          <w:tcPr>
            <w:tcW w:w="954" w:type="dxa"/>
            <w:shd w:val="clear" w:color="auto" w:fill="auto"/>
            <w:noWrap w:val="0"/>
            <w:vAlign w:val="center"/>
          </w:tcPr>
          <w:p w14:paraId="0B8BDF9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05" w:type="dxa"/>
            <w:shd w:val="clear" w:color="auto" w:fill="auto"/>
            <w:noWrap w:val="0"/>
            <w:vAlign w:val="center"/>
          </w:tcPr>
          <w:p w14:paraId="28E92D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p>
          <w:p w14:paraId="763F4B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p w14:paraId="7AE452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687" w:type="dxa"/>
            <w:shd w:val="clear" w:color="auto" w:fill="auto"/>
            <w:noWrap w:val="0"/>
            <w:vAlign w:val="center"/>
          </w:tcPr>
          <w:p w14:paraId="093833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p w14:paraId="29F4BE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660" w:type="dxa"/>
            <w:shd w:val="clear" w:color="auto" w:fill="auto"/>
            <w:noWrap w:val="0"/>
            <w:vAlign w:val="center"/>
          </w:tcPr>
          <w:p w14:paraId="5A765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37" w:type="dxa"/>
            <w:noWrap w:val="0"/>
            <w:vAlign w:val="center"/>
          </w:tcPr>
          <w:p w14:paraId="2FCF8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53AC50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3FD3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6" w:type="dxa"/>
            <w:vMerge w:val="continue"/>
            <w:noWrap w:val="0"/>
            <w:vAlign w:val="center"/>
          </w:tcPr>
          <w:p w14:paraId="1263C0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2E7D0F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35" w:type="dxa"/>
            <w:noWrap w:val="0"/>
            <w:vAlign w:val="center"/>
          </w:tcPr>
          <w:p w14:paraId="161890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041" w:type="dxa"/>
            <w:noWrap w:val="0"/>
            <w:vAlign w:val="center"/>
          </w:tcPr>
          <w:p w14:paraId="623B25BA">
            <w:pPr>
              <w:keepNext w:val="0"/>
              <w:keepLines w:val="0"/>
              <w:widowControl/>
              <w:suppressLineNumbers w:val="0"/>
              <w:jc w:val="left"/>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工作完成时间</w:t>
            </w:r>
          </w:p>
        </w:tc>
        <w:tc>
          <w:tcPr>
            <w:tcW w:w="954" w:type="dxa"/>
            <w:shd w:val="clear" w:color="auto" w:fill="auto"/>
            <w:noWrap w:val="0"/>
            <w:vAlign w:val="center"/>
          </w:tcPr>
          <w:p w14:paraId="7F19E12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2024年12月31日前</w:t>
            </w:r>
          </w:p>
        </w:tc>
        <w:tc>
          <w:tcPr>
            <w:tcW w:w="1005" w:type="dxa"/>
            <w:shd w:val="clear" w:color="auto" w:fill="auto"/>
            <w:noWrap w:val="0"/>
            <w:vAlign w:val="center"/>
          </w:tcPr>
          <w:p w14:paraId="7787783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2024年12月31日前</w:t>
            </w:r>
          </w:p>
        </w:tc>
        <w:tc>
          <w:tcPr>
            <w:tcW w:w="687" w:type="dxa"/>
            <w:noWrap w:val="0"/>
            <w:vAlign w:val="center"/>
          </w:tcPr>
          <w:p w14:paraId="10F5F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69E936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400F34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2ED2E8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2352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16" w:type="dxa"/>
            <w:vMerge w:val="continue"/>
            <w:noWrap w:val="0"/>
            <w:vAlign w:val="center"/>
          </w:tcPr>
          <w:p w14:paraId="02F285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restart"/>
            <w:noWrap w:val="0"/>
            <w:vAlign w:val="center"/>
          </w:tcPr>
          <w:p w14:paraId="4D309F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68859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25</w:t>
            </w:r>
            <w:r>
              <w:rPr>
                <w:rFonts w:hint="eastAsia" w:ascii="仿宋" w:hAnsi="仿宋" w:eastAsia="仿宋" w:cs="仿宋"/>
                <w:color w:val="000000"/>
                <w:kern w:val="0"/>
                <w:sz w:val="20"/>
                <w:szCs w:val="20"/>
              </w:rPr>
              <w:t>分）</w:t>
            </w:r>
          </w:p>
        </w:tc>
        <w:tc>
          <w:tcPr>
            <w:tcW w:w="1335" w:type="dxa"/>
            <w:noWrap w:val="0"/>
            <w:vAlign w:val="center"/>
          </w:tcPr>
          <w:p w14:paraId="5A3E1C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经济效益指标</w:t>
            </w:r>
          </w:p>
        </w:tc>
        <w:tc>
          <w:tcPr>
            <w:tcW w:w="1041" w:type="dxa"/>
            <w:noWrap w:val="0"/>
            <w:vAlign w:val="center"/>
          </w:tcPr>
          <w:p w14:paraId="2F59ABB4">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提高财政资金使用效率，推动辰溪县人社各项事业发展</w:t>
            </w:r>
          </w:p>
        </w:tc>
        <w:tc>
          <w:tcPr>
            <w:tcW w:w="954" w:type="dxa"/>
            <w:noWrap w:val="0"/>
            <w:vAlign w:val="center"/>
          </w:tcPr>
          <w:p w14:paraId="361FB127">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1005" w:type="dxa"/>
            <w:noWrap w:val="0"/>
            <w:vAlign w:val="center"/>
          </w:tcPr>
          <w:p w14:paraId="28AA2C69">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687" w:type="dxa"/>
            <w:noWrap w:val="0"/>
            <w:vAlign w:val="center"/>
          </w:tcPr>
          <w:p w14:paraId="422BAD6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3DB3AE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6AB022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28C8E2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37" w:type="dxa"/>
            <w:noWrap w:val="0"/>
            <w:vAlign w:val="center"/>
          </w:tcPr>
          <w:p w14:paraId="5E857F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22B7A5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479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016" w:type="dxa"/>
            <w:vMerge w:val="continue"/>
            <w:noWrap w:val="0"/>
            <w:vAlign w:val="center"/>
          </w:tcPr>
          <w:p w14:paraId="0E8DBF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0EE717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35" w:type="dxa"/>
            <w:noWrap w:val="0"/>
            <w:vAlign w:val="center"/>
          </w:tcPr>
          <w:p w14:paraId="03C632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社会效益指标</w:t>
            </w:r>
          </w:p>
        </w:tc>
        <w:tc>
          <w:tcPr>
            <w:tcW w:w="1041" w:type="dxa"/>
            <w:noWrap w:val="0"/>
            <w:vAlign w:val="center"/>
          </w:tcPr>
          <w:p w14:paraId="5F1FBFA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促进辰溪县社会环境发展</w:t>
            </w:r>
          </w:p>
        </w:tc>
        <w:tc>
          <w:tcPr>
            <w:tcW w:w="954" w:type="dxa"/>
            <w:noWrap w:val="0"/>
            <w:vAlign w:val="center"/>
          </w:tcPr>
          <w:p w14:paraId="5EA5C99E">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1005" w:type="dxa"/>
            <w:noWrap w:val="0"/>
            <w:vAlign w:val="center"/>
          </w:tcPr>
          <w:p w14:paraId="0DD4369E">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687" w:type="dxa"/>
            <w:noWrap w:val="0"/>
            <w:vAlign w:val="center"/>
          </w:tcPr>
          <w:p w14:paraId="1932766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70A6A6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66FEDD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37F16A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33339E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p w14:paraId="2601C9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437" w:type="dxa"/>
            <w:noWrap w:val="0"/>
            <w:vAlign w:val="center"/>
          </w:tcPr>
          <w:p w14:paraId="5DA541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6E6602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1DC7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16" w:type="dxa"/>
            <w:vMerge w:val="continue"/>
            <w:noWrap w:val="0"/>
            <w:vAlign w:val="center"/>
          </w:tcPr>
          <w:p w14:paraId="5A09EE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27" w:type="dxa"/>
            <w:vMerge w:val="continue"/>
            <w:noWrap w:val="0"/>
            <w:vAlign w:val="center"/>
          </w:tcPr>
          <w:p w14:paraId="03EDE6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335" w:type="dxa"/>
            <w:noWrap w:val="0"/>
            <w:vAlign w:val="center"/>
          </w:tcPr>
          <w:p w14:paraId="21DA96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生态效益指标</w:t>
            </w:r>
          </w:p>
        </w:tc>
        <w:tc>
          <w:tcPr>
            <w:tcW w:w="1041" w:type="dxa"/>
            <w:noWrap w:val="0"/>
            <w:vAlign w:val="center"/>
          </w:tcPr>
          <w:p w14:paraId="7002C94E">
            <w:pPr>
              <w:keepNext w:val="0"/>
              <w:keepLines w:val="0"/>
              <w:widowControl/>
              <w:suppressLineNumbers w:val="0"/>
              <w:jc w:val="center"/>
              <w:textAlignment w:val="center"/>
              <w:rPr>
                <w:rFonts w:hint="eastAsia" w:ascii="仿宋" w:hAnsi="仿宋" w:eastAsia="仿宋" w:cs="仿宋"/>
                <w:color w:val="000000"/>
                <w:kern w:val="0"/>
                <w:sz w:val="20"/>
                <w:szCs w:val="20"/>
              </w:rPr>
            </w:pPr>
            <w:r>
              <w:rPr>
                <w:rFonts w:hint="eastAsia" w:ascii="宋体" w:hAnsi="宋体" w:eastAsia="宋体" w:cs="宋体"/>
                <w:i w:val="0"/>
                <w:iCs w:val="0"/>
                <w:color w:val="000000"/>
                <w:kern w:val="0"/>
                <w:sz w:val="20"/>
                <w:szCs w:val="20"/>
                <w:u w:val="none"/>
                <w:lang w:val="en-US" w:eastAsia="zh-CN" w:bidi="ar"/>
              </w:rPr>
              <w:t>公开办事程序，缩短办事时间，提高办事效率</w:t>
            </w:r>
          </w:p>
        </w:tc>
        <w:tc>
          <w:tcPr>
            <w:tcW w:w="954" w:type="dxa"/>
            <w:noWrap w:val="0"/>
            <w:vAlign w:val="center"/>
          </w:tcPr>
          <w:p w14:paraId="50E277B7">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1005" w:type="dxa"/>
            <w:noWrap w:val="0"/>
            <w:vAlign w:val="center"/>
          </w:tcPr>
          <w:p w14:paraId="748B4B38">
            <w:pPr>
              <w:keepNext w:val="0"/>
              <w:keepLines w:val="0"/>
              <w:widowControl/>
              <w:suppressLineNumbers w:val="0"/>
              <w:jc w:val="center"/>
              <w:textAlignment w:val="center"/>
              <w:rPr>
                <w:rFonts w:hint="eastAsia" w:ascii="仿宋" w:hAnsi="仿宋" w:eastAsia="仿宋" w:cs="仿宋"/>
                <w:color w:val="000000"/>
                <w:kern w:val="0"/>
                <w:sz w:val="20"/>
                <w:szCs w:val="20"/>
                <w:lang w:eastAsia="zh-CN"/>
              </w:rPr>
            </w:pPr>
            <w:r>
              <w:rPr>
                <w:rFonts w:hint="eastAsia" w:ascii="宋体" w:hAnsi="宋体" w:eastAsia="宋体" w:cs="宋体"/>
                <w:i w:val="0"/>
                <w:iCs w:val="0"/>
                <w:color w:val="000000"/>
                <w:kern w:val="0"/>
                <w:sz w:val="20"/>
                <w:szCs w:val="20"/>
                <w:u w:val="none"/>
                <w:lang w:val="en-US" w:eastAsia="zh-CN" w:bidi="ar"/>
              </w:rPr>
              <w:t>效果明显</w:t>
            </w:r>
          </w:p>
        </w:tc>
        <w:tc>
          <w:tcPr>
            <w:tcW w:w="687" w:type="dxa"/>
            <w:noWrap w:val="0"/>
            <w:vAlign w:val="center"/>
          </w:tcPr>
          <w:p w14:paraId="756D30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4A8730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660" w:type="dxa"/>
            <w:noWrap w:val="0"/>
            <w:vAlign w:val="center"/>
          </w:tcPr>
          <w:p w14:paraId="0F6A95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4FEBF1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37" w:type="dxa"/>
            <w:noWrap w:val="0"/>
            <w:vAlign w:val="center"/>
          </w:tcPr>
          <w:p w14:paraId="5AE92F4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p>
        </w:tc>
      </w:tr>
      <w:tr w14:paraId="165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16" w:type="dxa"/>
            <w:vMerge w:val="continue"/>
            <w:noWrap w:val="0"/>
            <w:vAlign w:val="center"/>
          </w:tcPr>
          <w:p w14:paraId="64259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7" w:type="dxa"/>
            <w:noWrap w:val="0"/>
            <w:vAlign w:val="center"/>
          </w:tcPr>
          <w:p w14:paraId="1DA3E9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8E42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73D21F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335" w:type="dxa"/>
            <w:noWrap w:val="0"/>
            <w:vAlign w:val="center"/>
          </w:tcPr>
          <w:p w14:paraId="211F5E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41" w:type="dxa"/>
            <w:shd w:val="clear" w:color="auto" w:fill="auto"/>
            <w:noWrap w:val="0"/>
            <w:vAlign w:val="center"/>
          </w:tcPr>
          <w:p w14:paraId="0C746F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954" w:type="dxa"/>
            <w:noWrap w:val="0"/>
            <w:vAlign w:val="center"/>
          </w:tcPr>
          <w:p w14:paraId="3EFF1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6C70A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98%</w:t>
            </w:r>
          </w:p>
        </w:tc>
        <w:tc>
          <w:tcPr>
            <w:tcW w:w="1005" w:type="dxa"/>
            <w:noWrap w:val="0"/>
            <w:vAlign w:val="center"/>
          </w:tcPr>
          <w:p w14:paraId="7B8B10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p w14:paraId="72A73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95%</w:t>
            </w:r>
          </w:p>
        </w:tc>
        <w:tc>
          <w:tcPr>
            <w:tcW w:w="687" w:type="dxa"/>
            <w:noWrap w:val="0"/>
            <w:vAlign w:val="center"/>
          </w:tcPr>
          <w:p w14:paraId="32F9C9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45F89E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660" w:type="dxa"/>
            <w:noWrap w:val="0"/>
            <w:vAlign w:val="center"/>
          </w:tcPr>
          <w:p w14:paraId="7DC111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p w14:paraId="4851E4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8.5</w:t>
            </w:r>
          </w:p>
        </w:tc>
        <w:tc>
          <w:tcPr>
            <w:tcW w:w="1437" w:type="dxa"/>
            <w:noWrap w:val="0"/>
            <w:vAlign w:val="center"/>
          </w:tcPr>
          <w:p w14:paraId="3046E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原因：群众对人社相关政策了解度不高，导致少许办事效率降低。</w:t>
            </w:r>
          </w:p>
          <w:p w14:paraId="71DB65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措施：加强人社政策宣传力度，进一步提高群众办事满意度</w:t>
            </w:r>
          </w:p>
          <w:p w14:paraId="6DCDC6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r w14:paraId="0F0D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78" w:type="dxa"/>
            <w:gridSpan w:val="6"/>
            <w:noWrap w:val="0"/>
            <w:vAlign w:val="center"/>
          </w:tcPr>
          <w:p w14:paraId="3A930E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87" w:type="dxa"/>
            <w:noWrap w:val="0"/>
            <w:vAlign w:val="center"/>
          </w:tcPr>
          <w:p w14:paraId="6CF072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60" w:type="dxa"/>
            <w:noWrap w:val="0"/>
            <w:vAlign w:val="center"/>
          </w:tcPr>
          <w:p w14:paraId="65C18C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eastAsia="zh-CN"/>
              </w:rPr>
              <w:t xml:space="preserve"> </w:t>
            </w:r>
            <w:r>
              <w:rPr>
                <w:rFonts w:hint="eastAsia" w:ascii="仿宋" w:hAnsi="仿宋" w:eastAsia="仿宋" w:cs="仿宋"/>
                <w:color w:val="000000"/>
                <w:kern w:val="0"/>
                <w:sz w:val="20"/>
                <w:szCs w:val="20"/>
                <w:lang w:val="en-US" w:eastAsia="zh-CN"/>
              </w:rPr>
              <w:t>96</w:t>
            </w:r>
          </w:p>
        </w:tc>
        <w:tc>
          <w:tcPr>
            <w:tcW w:w="1437" w:type="dxa"/>
            <w:noWrap w:val="0"/>
            <w:vAlign w:val="center"/>
          </w:tcPr>
          <w:p w14:paraId="27FB17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 xml:space="preserve"> </w:t>
            </w:r>
          </w:p>
        </w:tc>
      </w:tr>
    </w:tbl>
    <w:p w14:paraId="0AF7B71A">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宋青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2025年5月14日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18774780799 </w:t>
      </w: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8453C0-0D8F-4F78-8DC4-2FA531954E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0DD1608-7250-4BCD-9EE0-DC8BC4290599}"/>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DF01E10D-3FD3-433C-A9B2-DBD8556CB4F7}"/>
  </w:font>
  <w:font w:name="方正小标宋_GBK">
    <w:panose1 w:val="03000509000000000000"/>
    <w:charset w:val="86"/>
    <w:family w:val="auto"/>
    <w:pitch w:val="default"/>
    <w:sig w:usb0="00000001" w:usb1="080E0000" w:usb2="00000000" w:usb3="00000000" w:csb0="00040000" w:csb1="00000000"/>
    <w:embedRegular r:id="rId4" w:fontKey="{653F2EF8-E536-4583-B288-E7CDE1C1F2BE}"/>
  </w:font>
  <w:font w:name="仿宋_GB2312">
    <w:panose1 w:val="02010609030101010101"/>
    <w:charset w:val="86"/>
    <w:family w:val="auto"/>
    <w:pitch w:val="default"/>
    <w:sig w:usb0="00000001" w:usb1="080E0000" w:usb2="00000000" w:usb3="00000000" w:csb0="00040000" w:csb1="00000000"/>
    <w:embedRegular r:id="rId5" w:fontKey="{ABD4DF21-3F19-4CB9-B68C-B8F9CC5D856C}"/>
  </w:font>
  <w:font w:name="仿宋">
    <w:panose1 w:val="02010609060101010101"/>
    <w:charset w:val="86"/>
    <w:family w:val="auto"/>
    <w:pitch w:val="default"/>
    <w:sig w:usb0="800002BF" w:usb1="38CF7CFA" w:usb2="00000016" w:usb3="00000000" w:csb0="00040001" w:csb1="00000000"/>
    <w:embedRegular r:id="rId6" w:fontKey="{52606770-E1E1-41CA-8CEC-F2AAAE0A0202}"/>
  </w:font>
  <w:font w:name="方正仿宋_GB2312">
    <w:panose1 w:val="02000000000000000000"/>
    <w:charset w:val="86"/>
    <w:family w:val="auto"/>
    <w:pitch w:val="default"/>
    <w:sig w:usb0="A00002BF" w:usb1="184F6CFA" w:usb2="00000012" w:usb3="00000000" w:csb0="00040001" w:csb1="00000000"/>
    <w:embedRegular r:id="rId7" w:fontKey="{2CED5605-093C-4A65-8C42-CD85C42D7FD5}"/>
  </w:font>
  <w:font w:name="方正小标宋简体">
    <w:panose1 w:val="03000509000000000000"/>
    <w:charset w:val="86"/>
    <w:family w:val="auto"/>
    <w:pitch w:val="default"/>
    <w:sig w:usb0="00000001" w:usb1="080E0000" w:usb2="00000000" w:usb3="00000000" w:csb0="00040000" w:csb1="00000000"/>
    <w:embedRegular r:id="rId8" w:fontKey="{F627DCF1-FEB5-4484-966B-B07C43B9D4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02F0A"/>
    <w:multiLevelType w:val="singleLevel"/>
    <w:tmpl w:val="41D02F0A"/>
    <w:lvl w:ilvl="0" w:tentative="0">
      <w:start w:val="1"/>
      <w:numFmt w:val="decimal"/>
      <w:lvlText w:val="(%1)"/>
      <w:lvlJc w:val="left"/>
      <w:pPr>
        <w:tabs>
          <w:tab w:val="left" w:pos="312"/>
        </w:tabs>
      </w:pPr>
    </w:lvl>
  </w:abstractNum>
  <w:abstractNum w:abstractNumId="1">
    <w:nsid w:val="6A442702"/>
    <w:multiLevelType w:val="singleLevel"/>
    <w:tmpl w:val="6A442702"/>
    <w:lvl w:ilvl="0" w:tentative="0">
      <w:start w:val="2"/>
      <w:numFmt w:val="decimal"/>
      <w:lvlText w:val="%1."/>
      <w:lvlJc w:val="left"/>
      <w:pPr>
        <w:tabs>
          <w:tab w:val="left" w:pos="312"/>
        </w:tabs>
      </w:pPr>
    </w:lvl>
  </w:abstractNum>
  <w:abstractNum w:abstractNumId="2">
    <w:nsid w:val="783E7830"/>
    <w:multiLevelType w:val="singleLevel"/>
    <w:tmpl w:val="783E783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2D565CF"/>
    <w:rsid w:val="046A73C6"/>
    <w:rsid w:val="049F5EA2"/>
    <w:rsid w:val="05203638"/>
    <w:rsid w:val="05E95AA6"/>
    <w:rsid w:val="0C180A78"/>
    <w:rsid w:val="0CAF7D6D"/>
    <w:rsid w:val="0D276746"/>
    <w:rsid w:val="0D464D9C"/>
    <w:rsid w:val="0DD52794"/>
    <w:rsid w:val="0E956870"/>
    <w:rsid w:val="10C666A5"/>
    <w:rsid w:val="1223366A"/>
    <w:rsid w:val="143877FD"/>
    <w:rsid w:val="17C820DA"/>
    <w:rsid w:val="19E805B2"/>
    <w:rsid w:val="1E61685D"/>
    <w:rsid w:val="22A74A34"/>
    <w:rsid w:val="22FE234B"/>
    <w:rsid w:val="256928D3"/>
    <w:rsid w:val="277E6F02"/>
    <w:rsid w:val="29990575"/>
    <w:rsid w:val="2AF6742D"/>
    <w:rsid w:val="2E833798"/>
    <w:rsid w:val="312A2265"/>
    <w:rsid w:val="36FC0F5D"/>
    <w:rsid w:val="375773F8"/>
    <w:rsid w:val="38CC5315"/>
    <w:rsid w:val="393E32BB"/>
    <w:rsid w:val="419B2857"/>
    <w:rsid w:val="41D71DA8"/>
    <w:rsid w:val="45D249F5"/>
    <w:rsid w:val="469A0386"/>
    <w:rsid w:val="4AB4584D"/>
    <w:rsid w:val="4C6611ED"/>
    <w:rsid w:val="552A0475"/>
    <w:rsid w:val="578D10CB"/>
    <w:rsid w:val="5A5915AC"/>
    <w:rsid w:val="6A12486A"/>
    <w:rsid w:val="74DC6EED"/>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autoRedefine/>
    <w:unhideWhenUsed/>
    <w:qFormat/>
    <w:uiPriority w:val="99"/>
    <w:pPr>
      <w:spacing w:beforeLines="0" w:afterLines="0"/>
      <w:ind w:firstLine="420"/>
    </w:pPr>
    <w:rPr>
      <w:rFonts w:hint="default"/>
      <w:sz w:val="32"/>
    </w:r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4789</Words>
  <Characters>5100</Characters>
  <Lines>0</Lines>
  <Paragraphs>0</Paragraphs>
  <TotalTime>0</TotalTime>
  <ScaleCrop>false</ScaleCrop>
  <LinksUpToDate>false</LinksUpToDate>
  <CharactersWithSpaces>5285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宋青</cp:lastModifiedBy>
  <cp:lastPrinted>2024-02-26T03:24:00Z</cp:lastPrinted>
  <dcterms:modified xsi:type="dcterms:W3CDTF">2025-08-21T09:20:57Z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7A221DA08B1449F9B6D772AD8D0FAA12_13</vt:lpwstr>
  </property>
  <property fmtid="{D5CDD505-2E9C-101B-9397-08002B2CF9AE}" pid="4" name="KSOTemplateDocerSaveRecord">
    <vt:lpwstr>eyJoZGlkIjoiYjc1ODhkOTY5MDY0NmRkMDhmOWY1ZDM2YThiMWFkY2YiLCJ1c2VySWQiOiIzNzQ2MjEwNzQifQ==</vt:lpwstr>
  </property>
</Properties>
</file>