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202</w:t>
      </w:r>
      <w:r>
        <w:rPr>
          <w:rFonts w:hint="eastAsia" w:ascii="黑体" w:hAnsi="黑体" w:eastAsia="黑体" w:cs="黑体"/>
          <w:bCs/>
          <w:sz w:val="44"/>
          <w:lang w:val="en-US" w:eastAsia="zh-CN"/>
        </w:rPr>
        <w:t>4</w:t>
      </w:r>
      <w:r>
        <w:rPr>
          <w:rFonts w:hint="eastAsia" w:ascii="黑体" w:hAnsi="黑体" w:eastAsia="黑体" w:cs="黑体"/>
          <w:bCs/>
          <w:sz w:val="44"/>
        </w:rPr>
        <w:t>年度潭湾镇人民政府部门整体支出</w:t>
      </w:r>
    </w:p>
    <w:p>
      <w:pPr>
        <w:widowControl/>
        <w:spacing w:line="640" w:lineRule="exact"/>
        <w:jc w:val="center"/>
        <w:rPr>
          <w:rFonts w:hint="eastAsia" w:ascii="黑体" w:hAnsi="黑体" w:eastAsia="黑体" w:cs="黑体"/>
          <w:bCs/>
          <w:sz w:val="44"/>
        </w:rPr>
      </w:pPr>
      <w:r>
        <w:rPr>
          <w:rFonts w:hint="eastAsia" w:ascii="黑体" w:hAnsi="黑体" w:eastAsia="黑体" w:cs="黑体"/>
          <w:bCs/>
          <w:sz w:val="44"/>
        </w:rPr>
        <w:t>绩效自评报告</w:t>
      </w: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both"/>
        <w:rPr>
          <w:sz w:val="24"/>
        </w:rPr>
      </w:pPr>
    </w:p>
    <w:p>
      <w:pPr>
        <w:spacing w:line="600" w:lineRule="exact"/>
        <w:rPr>
          <w:sz w:val="24"/>
        </w:rPr>
      </w:pPr>
    </w:p>
    <w:p>
      <w:pPr>
        <w:spacing w:line="600" w:lineRule="exact"/>
        <w:jc w:val="center"/>
        <w:rPr>
          <w:sz w:val="32"/>
          <w:szCs w:val="32"/>
          <w:u w:val="single"/>
        </w:rPr>
      </w:pPr>
      <w:r>
        <w:rPr>
          <w:rFonts w:hint="eastAsia"/>
          <w:sz w:val="32"/>
          <w:szCs w:val="32"/>
        </w:rPr>
        <w:t>部门（单位）名称：</w:t>
      </w:r>
      <w:r>
        <w:rPr>
          <w:rFonts w:hint="default"/>
          <w:sz w:val="32"/>
          <w:szCs w:val="32"/>
          <w:u w:val="single"/>
        </w:rPr>
        <w:t>辰溪县</w:t>
      </w:r>
      <w:r>
        <w:rPr>
          <w:rFonts w:hint="eastAsia"/>
          <w:sz w:val="32"/>
          <w:szCs w:val="32"/>
          <w:u w:val="single"/>
        </w:rPr>
        <w:t xml:space="preserve">潭湾镇人民政府 </w:t>
      </w:r>
    </w:p>
    <w:p>
      <w:pPr>
        <w:spacing w:line="600" w:lineRule="exact"/>
        <w:jc w:val="center"/>
        <w:rPr>
          <w:sz w:val="32"/>
          <w:szCs w:val="32"/>
        </w:rPr>
      </w:pPr>
      <w:r>
        <w:rPr>
          <w:rFonts w:hint="eastAsia"/>
          <w:sz w:val="32"/>
          <w:szCs w:val="32"/>
        </w:rPr>
        <w:t>　　　</w:t>
      </w:r>
      <w:r>
        <w:rPr>
          <w:rFonts w:hint="default"/>
          <w:sz w:val="32"/>
          <w:szCs w:val="32"/>
        </w:rPr>
        <w:t>202</w:t>
      </w:r>
      <w:r>
        <w:rPr>
          <w:rFonts w:hint="eastAsia"/>
          <w:sz w:val="32"/>
          <w:szCs w:val="32"/>
          <w:lang w:val="en-US" w:eastAsia="zh-CN"/>
        </w:rPr>
        <w:t>5</w:t>
      </w:r>
      <w:r>
        <w:rPr>
          <w:rFonts w:hint="eastAsia"/>
          <w:sz w:val="32"/>
          <w:szCs w:val="32"/>
        </w:rPr>
        <w:t xml:space="preserve">年 </w:t>
      </w:r>
      <w:r>
        <w:rPr>
          <w:rFonts w:hint="eastAsia"/>
          <w:sz w:val="32"/>
          <w:szCs w:val="32"/>
          <w:lang w:val="en-US" w:eastAsia="zh-CN"/>
        </w:rPr>
        <w:t xml:space="preserve">5 </w:t>
      </w:r>
      <w:r>
        <w:rPr>
          <w:rFonts w:hint="eastAsia"/>
          <w:sz w:val="32"/>
          <w:szCs w:val="32"/>
        </w:rPr>
        <w:t>月</w:t>
      </w:r>
      <w:r>
        <w:rPr>
          <w:rFonts w:hint="default"/>
          <w:sz w:val="32"/>
          <w:szCs w:val="32"/>
        </w:rPr>
        <w:t>10</w:t>
      </w:r>
      <w:r>
        <w:rPr>
          <w:rFonts w:hint="eastAsia"/>
          <w:sz w:val="32"/>
          <w:szCs w:val="32"/>
        </w:rPr>
        <w:t>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Style w:val="14"/>
          <w:rFonts w:hint="eastAsia" w:ascii="仿宋" w:hAnsi="仿宋" w:eastAsia="仿宋" w:cs="仿宋"/>
          <w:kern w:val="2"/>
          <w:sz w:val="30"/>
          <w:szCs w:val="30"/>
          <w:lang w:val="en-US" w:eastAsia="zh-CN" w:bidi="ar-SA"/>
        </w:rPr>
      </w:pPr>
      <w:r>
        <w:rPr>
          <w:rStyle w:val="14"/>
          <w:rFonts w:hint="eastAsia" w:ascii="仿宋" w:hAnsi="仿宋" w:eastAsia="仿宋" w:cs="仿宋"/>
          <w:b/>
          <w:bCs/>
          <w:kern w:val="2"/>
          <w:sz w:val="30"/>
          <w:szCs w:val="30"/>
          <w:lang w:val="en-US" w:eastAsia="zh-CN" w:bidi="ar-SA"/>
        </w:rPr>
        <w:t>1、党政办公室。</w:t>
      </w:r>
      <w:r>
        <w:rPr>
          <w:rStyle w:val="14"/>
          <w:rFonts w:hint="eastAsia" w:ascii="仿宋" w:hAnsi="仿宋" w:eastAsia="仿宋" w:cs="仿宋"/>
          <w:kern w:val="2"/>
          <w:sz w:val="30"/>
          <w:szCs w:val="30"/>
          <w:lang w:val="en-US" w:eastAsia="zh-CN" w:bidi="ar-SA"/>
        </w:rPr>
        <w:t>负责党政服务和综合协调工作，负责机关文电、机要、保密、信息、会务、档案、绩效考核、督查督办。后勤保障等工作；负责重要事项的综合协调和重要文稿的起草审核；负责权限内行政审批工作；负责政务公开和政务服务管理、电子政务、数据管理、信用体系建设等工作；负责便民服务大厅日常管理、监督、考核等工作；做好“互联网+政务服务”平台建管用，推进“一件事一次办”改革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Style w:val="14"/>
          <w:rFonts w:hint="eastAsia" w:ascii="仿宋" w:hAnsi="仿宋" w:eastAsia="仿宋" w:cs="仿宋"/>
          <w:kern w:val="2"/>
          <w:sz w:val="30"/>
          <w:szCs w:val="30"/>
          <w:lang w:val="en-US" w:eastAsia="zh-CN" w:bidi="ar-SA"/>
        </w:rPr>
      </w:pPr>
      <w:r>
        <w:rPr>
          <w:rStyle w:val="14"/>
          <w:rFonts w:hint="eastAsia" w:ascii="仿宋" w:hAnsi="仿宋" w:eastAsia="仿宋" w:cs="仿宋"/>
          <w:b/>
          <w:bCs/>
          <w:kern w:val="2"/>
          <w:sz w:val="30"/>
          <w:szCs w:val="30"/>
          <w:lang w:val="en-US" w:eastAsia="zh-CN" w:bidi="ar-SA"/>
        </w:rPr>
        <w:t>2、党建办公室。</w:t>
      </w:r>
      <w:r>
        <w:rPr>
          <w:rStyle w:val="14"/>
          <w:rFonts w:hint="eastAsia" w:ascii="仿宋" w:hAnsi="仿宋" w:eastAsia="仿宋" w:cs="仿宋"/>
          <w:kern w:val="2"/>
          <w:sz w:val="30"/>
          <w:szCs w:val="30"/>
          <w:lang w:val="en-US" w:eastAsia="zh-CN" w:bidi="ar-SA"/>
        </w:rPr>
        <w:t>负责机关党建工作；负责基层党建工作的组织推动、业务指导、督促落实和综合协调等工作；负责基层党组织建设和党员队伍的教育管理以及老龄老干、关心下一代工作；负责机关事业单位的机构编制、人事政工管理等工作，协助管理派出（驻）机构人员；负责宣传思想文化、意识形态（网络意识形态、网络安全）、统战工作；协调工会、共青团、妇联等群团组织相关工作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Style w:val="14"/>
          <w:rFonts w:hint="eastAsia" w:ascii="仿宋" w:hAnsi="仿宋" w:eastAsia="仿宋" w:cs="仿宋"/>
          <w:kern w:val="2"/>
          <w:sz w:val="30"/>
          <w:szCs w:val="30"/>
          <w:lang w:val="en-US" w:eastAsia="zh-CN" w:bidi="ar-SA"/>
        </w:rPr>
      </w:pPr>
      <w:r>
        <w:rPr>
          <w:rStyle w:val="14"/>
          <w:rFonts w:hint="eastAsia" w:ascii="仿宋" w:hAnsi="仿宋" w:eastAsia="仿宋" w:cs="仿宋"/>
          <w:b/>
          <w:bCs/>
          <w:kern w:val="2"/>
          <w:sz w:val="30"/>
          <w:szCs w:val="30"/>
          <w:lang w:val="en-US" w:eastAsia="zh-CN" w:bidi="ar-SA"/>
        </w:rPr>
        <w:t>3、经济发展办公室。</w:t>
      </w:r>
      <w:r>
        <w:rPr>
          <w:rStyle w:val="14"/>
          <w:rFonts w:hint="eastAsia" w:ascii="仿宋" w:hAnsi="仿宋" w:eastAsia="仿宋" w:cs="仿宋"/>
          <w:kern w:val="2"/>
          <w:sz w:val="30"/>
          <w:szCs w:val="30"/>
          <w:lang w:val="en-US" w:eastAsia="zh-CN" w:bidi="ar-SA"/>
        </w:rPr>
        <w:t>负责拟订经济发展规划并组织实施；负责指导、推动农村集体经济发展；负责优化营商环境、招商引资、商贸流通、市场服务、市容市貌管理、交通运输、农村公路建设养护、科技科普、统计等相关工作；承担市场监管有关方面的指导协调职责；协调与发展经济相关的其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Style w:val="14"/>
          <w:rFonts w:hint="eastAsia" w:ascii="仿宋" w:hAnsi="仿宋" w:eastAsia="仿宋" w:cs="仿宋"/>
          <w:kern w:val="2"/>
          <w:sz w:val="30"/>
          <w:szCs w:val="30"/>
          <w:lang w:val="en-US" w:eastAsia="zh-CN" w:bidi="ar-SA"/>
        </w:rPr>
      </w:pPr>
      <w:r>
        <w:rPr>
          <w:rStyle w:val="14"/>
          <w:rFonts w:hint="eastAsia" w:ascii="仿宋" w:hAnsi="仿宋" w:eastAsia="仿宋" w:cs="仿宋"/>
          <w:b/>
          <w:bCs/>
          <w:kern w:val="2"/>
          <w:sz w:val="30"/>
          <w:szCs w:val="30"/>
          <w:lang w:val="en-US" w:eastAsia="zh-CN" w:bidi="ar-SA"/>
        </w:rPr>
        <w:t>4、生态办公室。</w:t>
      </w:r>
      <w:r>
        <w:rPr>
          <w:rStyle w:val="14"/>
          <w:rFonts w:hint="eastAsia" w:ascii="仿宋" w:hAnsi="仿宋" w:eastAsia="仿宋" w:cs="仿宋"/>
          <w:kern w:val="2"/>
          <w:sz w:val="30"/>
          <w:szCs w:val="30"/>
          <w:lang w:val="en-US" w:eastAsia="zh-CN" w:bidi="ar-SA"/>
        </w:rPr>
        <w:t>负责宣传贯彻落实习近平生态文明思想和生态环境等方面法律法规及政策；按照职责权限，承担自然资源保护利用、生态环境保护等方面工作；负责督促属地内企业落实水体、土壤、大气污染防治主体责任；宣传指导村民采用生态环保的种植、养殖等生产生活方式，减少农业面源污染；承担属地内农用地污染状况调查工作；承担属地内饮用水源地日常监督管理工作；常态化开展属地内污染源现场、生态功能区检查，承担或配合落实环保督察交办问题整改；承担乡镇党委、政府交办的其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2" w:firstLineChars="200"/>
        <w:textAlignment w:val="auto"/>
        <w:rPr>
          <w:rStyle w:val="14"/>
          <w:rFonts w:hint="default" w:ascii="仿宋" w:hAnsi="仿宋" w:eastAsia="仿宋" w:cs="仿宋"/>
          <w:kern w:val="2"/>
          <w:sz w:val="30"/>
          <w:szCs w:val="30"/>
          <w:lang w:val="en-US" w:eastAsia="zh-CN" w:bidi="ar-SA"/>
        </w:rPr>
      </w:pPr>
      <w:r>
        <w:rPr>
          <w:rStyle w:val="14"/>
          <w:rFonts w:hint="eastAsia" w:ascii="仿宋" w:hAnsi="仿宋" w:eastAsia="仿宋" w:cs="仿宋"/>
          <w:b/>
          <w:bCs/>
          <w:kern w:val="2"/>
          <w:sz w:val="30"/>
          <w:szCs w:val="30"/>
          <w:lang w:val="en-US" w:eastAsia="zh-CN" w:bidi="ar-SA"/>
        </w:rPr>
        <w:t>5、平安法治和应急管理办公室。</w:t>
      </w:r>
      <w:r>
        <w:rPr>
          <w:rStyle w:val="14"/>
          <w:rFonts w:hint="eastAsia" w:ascii="仿宋" w:hAnsi="仿宋" w:eastAsia="仿宋" w:cs="仿宋"/>
          <w:kern w:val="2"/>
          <w:sz w:val="30"/>
          <w:szCs w:val="30"/>
          <w:lang w:val="en-US" w:eastAsia="zh-CN" w:bidi="ar-SA"/>
        </w:rPr>
        <w:t>负责社会治理、平安建设、信访维稳、扫黑除恶、网格化管理等工作；协调推动预防、化解社会矛盾和风险，推进社会治安整治、铁路护路联防、国家安全人民防线和反邪教等工作；负责安全生产、防汛抗旱、综合防灾减灾救灾报灾、地质灾害、消防、森林防灭火、突发事件应急救援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（二）人员编制情况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lang w:val="en-US" w:eastAsia="zh-CN"/>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Style w:val="14"/>
          <w:rFonts w:hint="eastAsia" w:ascii="仿宋" w:hAnsi="仿宋" w:eastAsia="仿宋" w:cs="仿宋"/>
          <w:kern w:val="2"/>
          <w:sz w:val="30"/>
          <w:szCs w:val="30"/>
          <w:lang w:val="en-US" w:eastAsia="zh-CN" w:bidi="ar-SA"/>
        </w:rPr>
        <w:t>人员情况：截至</w:t>
      </w:r>
      <w:r>
        <w:rPr>
          <w:rStyle w:val="14"/>
          <w:rFonts w:hint="default" w:ascii="仿宋" w:hAnsi="仿宋" w:eastAsia="仿宋" w:cs="仿宋"/>
          <w:kern w:val="2"/>
          <w:sz w:val="30"/>
          <w:szCs w:val="30"/>
          <w:lang w:eastAsia="zh-CN" w:bidi="ar-SA"/>
        </w:rPr>
        <w:t>202</w:t>
      </w:r>
      <w:r>
        <w:rPr>
          <w:rStyle w:val="14"/>
          <w:rFonts w:hint="eastAsia" w:ascii="仿宋" w:hAnsi="仿宋" w:eastAsia="仿宋" w:cs="仿宋"/>
          <w:kern w:val="2"/>
          <w:sz w:val="30"/>
          <w:szCs w:val="30"/>
          <w:lang w:val="en-US" w:eastAsia="zh-CN" w:bidi="ar-SA"/>
        </w:rPr>
        <w:t>4年底，潭湾镇人民政府核定人员编制</w:t>
      </w:r>
      <w:r>
        <w:rPr>
          <w:rStyle w:val="14"/>
          <w:rFonts w:hint="default" w:ascii="仿宋" w:hAnsi="仿宋" w:eastAsia="仿宋" w:cs="仿宋"/>
          <w:kern w:val="2"/>
          <w:sz w:val="30"/>
          <w:szCs w:val="30"/>
          <w:lang w:eastAsia="zh-CN" w:bidi="ar-SA"/>
        </w:rPr>
        <w:t>8</w:t>
      </w:r>
      <w:r>
        <w:rPr>
          <w:rStyle w:val="14"/>
          <w:rFonts w:hint="eastAsia" w:ascii="仿宋" w:hAnsi="仿宋" w:eastAsia="仿宋" w:cs="仿宋"/>
          <w:kern w:val="2"/>
          <w:sz w:val="30"/>
          <w:szCs w:val="30"/>
          <w:lang w:val="en-US" w:eastAsia="zh-CN" w:bidi="ar-SA"/>
        </w:rPr>
        <w:t>0人，行政编制31人，事业编制</w:t>
      </w:r>
      <w:r>
        <w:rPr>
          <w:rStyle w:val="14"/>
          <w:rFonts w:hint="default" w:ascii="仿宋" w:hAnsi="仿宋" w:eastAsia="仿宋" w:cs="仿宋"/>
          <w:kern w:val="2"/>
          <w:sz w:val="30"/>
          <w:szCs w:val="30"/>
          <w:lang w:eastAsia="zh-CN" w:bidi="ar-SA"/>
        </w:rPr>
        <w:t>49</w:t>
      </w:r>
      <w:r>
        <w:rPr>
          <w:rStyle w:val="14"/>
          <w:rFonts w:hint="eastAsia" w:ascii="仿宋" w:hAnsi="仿宋" w:eastAsia="仿宋" w:cs="仿宋"/>
          <w:kern w:val="2"/>
          <w:sz w:val="30"/>
          <w:szCs w:val="30"/>
          <w:lang w:val="en-US" w:eastAsia="zh-CN" w:bidi="ar-SA"/>
        </w:rPr>
        <w:t>人；实际在编87人（行政编制30人，事业编制57人），财政实际供给87人。</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Style w:val="14"/>
          <w:rFonts w:hint="default" w:ascii="仿宋" w:hAnsi="仿宋" w:eastAsia="仿宋" w:cs="仿宋"/>
          <w:kern w:val="2"/>
          <w:sz w:val="30"/>
          <w:szCs w:val="30"/>
          <w:lang w:val="en-US" w:eastAsia="zh-CN" w:bidi="ar-SA"/>
        </w:rPr>
      </w:pPr>
      <w:r>
        <w:rPr>
          <w:rStyle w:val="14"/>
          <w:rFonts w:hint="default" w:ascii="仿宋" w:hAnsi="仿宋" w:eastAsia="仿宋" w:cs="仿宋"/>
          <w:kern w:val="2"/>
          <w:sz w:val="30"/>
          <w:szCs w:val="30"/>
          <w:lang w:val="en-US" w:eastAsia="zh-CN" w:bidi="ar-SA"/>
        </w:rPr>
        <w:t>制定和组织实施经济、科技、社会发展计划、部署重点工程建设、地方道路建设及公共设施、水利设施的管理，负责土地、林木、水等自然资源和生态环境的保护，做好防林防火工作，负责本辖区内的民政，文化教育，卫生，体育等社会公益事业的综合性工作，按计划组织税收的征收，管好财政资金，增强财政实力</w:t>
      </w:r>
      <w:r>
        <w:rPr>
          <w:rStyle w:val="14"/>
          <w:rFonts w:hint="eastAsia" w:ascii="仿宋" w:hAnsi="仿宋" w:eastAsia="仿宋" w:cs="仿宋"/>
          <w:kern w:val="2"/>
          <w:sz w:val="30"/>
          <w:szCs w:val="30"/>
          <w:lang w:val="en-US" w:eastAsia="zh-CN" w:bidi="ar-SA"/>
        </w:rPr>
        <w:t>。</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Style w:val="14"/>
          <w:rFonts w:hint="default" w:ascii="仿宋" w:hAnsi="仿宋" w:eastAsia="仿宋" w:cs="仿宋"/>
          <w:kern w:val="2"/>
          <w:sz w:val="30"/>
          <w:szCs w:val="30"/>
          <w:lang w:val="en-US" w:eastAsia="zh-CN" w:bidi="ar-SA"/>
        </w:rPr>
      </w:pPr>
      <w:r>
        <w:rPr>
          <w:rStyle w:val="14"/>
          <w:rFonts w:hint="default" w:ascii="仿宋" w:hAnsi="仿宋" w:eastAsia="仿宋" w:cs="仿宋"/>
          <w:kern w:val="2"/>
          <w:sz w:val="30"/>
          <w:szCs w:val="30"/>
          <w:lang w:val="en-US" w:eastAsia="zh-CN" w:bidi="ar-SA"/>
        </w:rPr>
        <w:t>1、贯彻执行规划建设，基础设施建设，稳定和完善农村基本经营管理全面实施下政府各项决策部署，确保各项工作目标任务圆满完成。2计划完成三公经费支出预算金额的100%。3严格把控财政资金的用途。</w:t>
      </w:r>
    </w:p>
    <w:p>
      <w:pPr>
        <w:pStyle w:val="15"/>
        <w:widowControl/>
        <w:numPr>
          <w:ilvl w:val="0"/>
          <w:numId w:val="0"/>
        </w:numPr>
        <w:spacing w:line="600" w:lineRule="exact"/>
        <w:ind w:left="640" w:leftChars="0"/>
        <w:rPr>
          <w:rFonts w:hint="default" w:ascii="楷体_GB2312" w:eastAsia="楷体_GB2312" w:cs="楷体_GB2312"/>
          <w:i w:val="0"/>
          <w:iCs w:val="0"/>
          <w:caps w:val="0"/>
          <w:color w:val="000000"/>
          <w:spacing w:val="0"/>
          <w:sz w:val="32"/>
          <w:szCs w:val="32"/>
        </w:rPr>
      </w:pPr>
      <w:r>
        <w:rPr>
          <w:rFonts w:hint="eastAsia" w:ascii="Times New Roman" w:hAnsi="Times New Roman" w:eastAsia="黑体" w:cs="Times New Roman"/>
          <w:sz w:val="32"/>
          <w:szCs w:val="32"/>
          <w:lang w:eastAsia="zh-CN"/>
        </w:rPr>
        <w:t>二、</w:t>
      </w:r>
      <w:r>
        <w:rPr>
          <w:rFonts w:hint="eastAsia" w:ascii="Times New Roman" w:hAnsi="Times New Roman" w:eastAsia="黑体" w:cs="Times New Roman"/>
          <w:sz w:val="32"/>
          <w:szCs w:val="32"/>
        </w:rPr>
        <w:t>一般公共预算支出情况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eastAsia="zh-CN"/>
        </w:rPr>
        <w:t>（一）</w:t>
      </w:r>
      <w:r>
        <w:rPr>
          <w:rFonts w:hint="default" w:ascii="仿宋_GB2312" w:eastAsia="仿宋_GB2312" w:cs="仿宋_GB2312"/>
          <w:i w:val="0"/>
          <w:iCs w:val="0"/>
          <w:caps w:val="0"/>
          <w:color w:val="000000"/>
          <w:spacing w:val="0"/>
          <w:sz w:val="32"/>
          <w:szCs w:val="32"/>
          <w:shd w:val="clear" w:fill="FFFFFF"/>
        </w:rPr>
        <w:t>基本支出情况</w:t>
      </w:r>
    </w:p>
    <w:p>
      <w:pPr>
        <w:spacing w:line="600" w:lineRule="exact"/>
        <w:ind w:firstLine="600" w:firstLineChars="200"/>
        <w:rPr>
          <w:rFonts w:hint="default" w:ascii="仿宋_GB2312" w:eastAsia="仿宋_GB2312" w:cs="仿宋_GB2312"/>
          <w:i w:val="0"/>
          <w:iCs w:val="0"/>
          <w:caps w:val="0"/>
          <w:color w:val="000000"/>
          <w:spacing w:val="0"/>
          <w:sz w:val="32"/>
          <w:szCs w:val="32"/>
          <w:shd w:val="clear" w:fill="FFFFFF"/>
        </w:rPr>
      </w:pPr>
      <w:r>
        <w:rPr>
          <w:rStyle w:val="14"/>
          <w:rFonts w:hint="default" w:ascii="仿宋" w:hAnsi="仿宋" w:eastAsia="仿宋" w:cs="仿宋"/>
          <w:kern w:val="2"/>
          <w:sz w:val="30"/>
          <w:szCs w:val="30"/>
          <w:lang w:eastAsia="zh-CN" w:bidi="ar-SA"/>
        </w:rPr>
        <w:t>202</w:t>
      </w:r>
      <w:r>
        <w:rPr>
          <w:rStyle w:val="14"/>
          <w:rFonts w:hint="eastAsia" w:ascii="仿宋" w:hAnsi="仿宋" w:eastAsia="仿宋" w:cs="仿宋"/>
          <w:kern w:val="2"/>
          <w:sz w:val="30"/>
          <w:szCs w:val="30"/>
          <w:lang w:val="en-US" w:eastAsia="zh-CN" w:bidi="ar-SA"/>
        </w:rPr>
        <w:t>4</w:t>
      </w:r>
      <w:r>
        <w:rPr>
          <w:rStyle w:val="14"/>
          <w:rFonts w:hint="default" w:ascii="仿宋" w:hAnsi="仿宋" w:eastAsia="仿宋" w:cs="仿宋"/>
          <w:kern w:val="2"/>
          <w:sz w:val="30"/>
          <w:szCs w:val="30"/>
          <w:lang w:eastAsia="zh-CN" w:bidi="ar-SA"/>
        </w:rPr>
        <w:t>年度部门决算支出</w:t>
      </w:r>
      <w:r>
        <w:rPr>
          <w:rStyle w:val="14"/>
          <w:rFonts w:hint="eastAsia" w:ascii="仿宋" w:hAnsi="仿宋" w:eastAsia="仿宋" w:cs="仿宋"/>
          <w:kern w:val="2"/>
          <w:sz w:val="30"/>
          <w:szCs w:val="30"/>
          <w:lang w:val="en-US" w:eastAsia="zh-CN" w:bidi="ar-SA"/>
        </w:rPr>
        <w:t>1907.71</w:t>
      </w:r>
      <w:r>
        <w:rPr>
          <w:rStyle w:val="14"/>
          <w:rFonts w:hint="default" w:ascii="仿宋" w:hAnsi="仿宋" w:eastAsia="仿宋" w:cs="仿宋"/>
          <w:kern w:val="2"/>
          <w:sz w:val="30"/>
          <w:szCs w:val="30"/>
          <w:lang w:eastAsia="zh-CN" w:bidi="ar-SA"/>
        </w:rPr>
        <w:t>万元，</w:t>
      </w:r>
      <w:r>
        <w:rPr>
          <w:rStyle w:val="14"/>
          <w:rFonts w:hint="eastAsia" w:ascii="仿宋" w:hAnsi="仿宋" w:eastAsia="仿宋" w:cs="仿宋"/>
          <w:kern w:val="2"/>
          <w:sz w:val="30"/>
          <w:szCs w:val="30"/>
          <w:lang w:val="en-US" w:eastAsia="zh-CN" w:bidi="ar-SA"/>
        </w:rPr>
        <w:t>基本支出1875.71万元，</w:t>
      </w:r>
      <w:r>
        <w:rPr>
          <w:rStyle w:val="14"/>
          <w:rFonts w:hint="default" w:ascii="仿宋" w:hAnsi="仿宋" w:eastAsia="仿宋" w:cs="仿宋"/>
          <w:kern w:val="2"/>
          <w:sz w:val="30"/>
          <w:szCs w:val="30"/>
          <w:lang w:eastAsia="zh-CN" w:bidi="ar-SA"/>
        </w:rPr>
        <w:t>占全部支出的</w:t>
      </w:r>
      <w:r>
        <w:rPr>
          <w:rStyle w:val="14"/>
          <w:rFonts w:hint="eastAsia" w:ascii="仿宋" w:hAnsi="仿宋" w:eastAsia="仿宋" w:cs="仿宋"/>
          <w:kern w:val="2"/>
          <w:sz w:val="30"/>
          <w:szCs w:val="30"/>
          <w:lang w:val="en-US" w:eastAsia="zh-CN" w:bidi="ar-SA"/>
        </w:rPr>
        <w:t>98.32</w:t>
      </w:r>
      <w:r>
        <w:rPr>
          <w:rStyle w:val="14"/>
          <w:rFonts w:hint="default" w:ascii="仿宋" w:hAnsi="仿宋" w:eastAsia="仿宋" w:cs="仿宋"/>
          <w:kern w:val="2"/>
          <w:sz w:val="30"/>
          <w:szCs w:val="30"/>
          <w:lang w:eastAsia="zh-CN" w:bidi="ar-SA"/>
        </w:rPr>
        <w:t>%，</w:t>
      </w:r>
      <w:r>
        <w:rPr>
          <w:rStyle w:val="14"/>
          <w:rFonts w:hint="eastAsia" w:ascii="仿宋" w:hAnsi="仿宋" w:eastAsia="仿宋" w:cs="仿宋"/>
          <w:kern w:val="2"/>
          <w:sz w:val="30"/>
          <w:szCs w:val="30"/>
          <w:lang w:val="en-US" w:eastAsia="zh-CN" w:bidi="ar-SA"/>
        </w:rPr>
        <w:t>主要是为保障部门正常运转、完成日常工作任务而发生的各项支出，明细如下：工资福利支出1172.21万元，主要用于在职人员的基本工资、津贴补贴、社会保障缴费、基本养老保险缴费等人员经费；商品服务支出697.71万元，主要用于办公费、印刷费、水电费、邮电费、差旅费、其他交通费、维修维护费、会议费、培训费、公务接待费、劳务费、委托业务费等日常公用经费；对个人和家庭的补助支出30.29万元，</w:t>
      </w:r>
      <w:r>
        <w:rPr>
          <w:rStyle w:val="14"/>
          <w:rFonts w:hint="default" w:ascii="仿宋" w:hAnsi="仿宋" w:eastAsia="仿宋" w:cs="仿宋"/>
          <w:kern w:val="2"/>
          <w:sz w:val="30"/>
          <w:szCs w:val="30"/>
          <w:lang w:eastAsia="zh-CN" w:bidi="ar-SA"/>
        </w:rPr>
        <w:t>主要用于抚恤金及生活补助等支出；</w:t>
      </w:r>
      <w:r>
        <w:rPr>
          <w:rStyle w:val="14"/>
          <w:rFonts w:hint="eastAsia" w:ascii="仿宋" w:hAnsi="仿宋" w:eastAsia="仿宋" w:cs="仿宋"/>
          <w:kern w:val="2"/>
          <w:sz w:val="30"/>
          <w:szCs w:val="30"/>
          <w:lang w:val="en-US" w:eastAsia="zh-CN" w:bidi="ar-SA"/>
        </w:rPr>
        <w:t>资本性支出7.49万元</w:t>
      </w:r>
      <w:r>
        <w:rPr>
          <w:rStyle w:val="14"/>
          <w:rFonts w:hint="default" w:ascii="仿宋" w:hAnsi="仿宋" w:eastAsia="仿宋" w:cs="仿宋"/>
          <w:kern w:val="2"/>
          <w:sz w:val="30"/>
          <w:szCs w:val="30"/>
          <w:lang w:eastAsia="zh-CN" w:bidi="ar-SA"/>
        </w:rPr>
        <w:t>，主要用于办公</w:t>
      </w:r>
      <w:r>
        <w:rPr>
          <w:rStyle w:val="14"/>
          <w:rFonts w:hint="eastAsia" w:ascii="仿宋" w:hAnsi="仿宋" w:eastAsia="仿宋" w:cs="仿宋"/>
          <w:kern w:val="2"/>
          <w:sz w:val="30"/>
          <w:szCs w:val="30"/>
          <w:lang w:eastAsia="zh-CN" w:bidi="ar-SA"/>
        </w:rPr>
        <w:t>家具及</w:t>
      </w:r>
      <w:r>
        <w:rPr>
          <w:rStyle w:val="14"/>
          <w:rFonts w:hint="default" w:ascii="仿宋" w:hAnsi="仿宋" w:eastAsia="仿宋" w:cs="仿宋"/>
          <w:kern w:val="2"/>
          <w:sz w:val="30"/>
          <w:szCs w:val="30"/>
          <w:lang w:eastAsia="zh-CN" w:bidi="ar-SA"/>
        </w:rPr>
        <w:t>设备购置</w:t>
      </w:r>
      <w:r>
        <w:rPr>
          <w:rStyle w:val="14"/>
          <w:rFonts w:hint="eastAsia" w:ascii="仿宋" w:hAnsi="仿宋" w:eastAsia="仿宋" w:cs="仿宋"/>
          <w:kern w:val="2"/>
          <w:sz w:val="30"/>
          <w:szCs w:val="30"/>
          <w:lang w:val="en-US" w:eastAsia="zh-CN" w:bidi="ar-SA"/>
        </w:rPr>
        <w:t>。</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pPr>
        <w:spacing w:line="600" w:lineRule="exact"/>
        <w:ind w:firstLine="600" w:firstLineChars="200"/>
        <w:rPr>
          <w:rFonts w:hint="default" w:ascii="仿宋_GB2312" w:eastAsia="仿宋_GB2312" w:cs="仿宋_GB2312"/>
          <w:i w:val="0"/>
          <w:iCs w:val="0"/>
          <w:caps w:val="0"/>
          <w:color w:val="000000"/>
          <w:spacing w:val="0"/>
          <w:sz w:val="32"/>
          <w:szCs w:val="32"/>
          <w:shd w:val="clear" w:fill="FFFFFF"/>
        </w:rPr>
      </w:pPr>
      <w:r>
        <w:rPr>
          <w:rStyle w:val="14"/>
          <w:rFonts w:hint="eastAsia" w:ascii="仿宋" w:hAnsi="仿宋" w:eastAsia="仿宋" w:cs="仿宋"/>
          <w:kern w:val="2"/>
          <w:sz w:val="30"/>
          <w:szCs w:val="30"/>
          <w:lang w:val="en-US" w:eastAsia="zh-CN" w:bidi="ar-SA"/>
        </w:rPr>
        <w:t>项目支出32万元，</w:t>
      </w:r>
      <w:r>
        <w:rPr>
          <w:rStyle w:val="14"/>
          <w:rFonts w:hint="default" w:ascii="仿宋" w:hAnsi="仿宋" w:eastAsia="仿宋" w:cs="仿宋"/>
          <w:kern w:val="2"/>
          <w:sz w:val="30"/>
          <w:szCs w:val="30"/>
          <w:lang w:eastAsia="zh-CN" w:bidi="ar-SA"/>
        </w:rPr>
        <w:t>占全部支出的</w:t>
      </w:r>
      <w:r>
        <w:rPr>
          <w:rStyle w:val="14"/>
          <w:rFonts w:hint="eastAsia" w:ascii="仿宋" w:hAnsi="仿宋" w:eastAsia="仿宋" w:cs="仿宋"/>
          <w:kern w:val="2"/>
          <w:sz w:val="30"/>
          <w:szCs w:val="30"/>
          <w:lang w:val="en-US" w:eastAsia="zh-CN" w:bidi="ar-SA"/>
        </w:rPr>
        <w:t>1.68</w:t>
      </w:r>
      <w:r>
        <w:rPr>
          <w:rStyle w:val="14"/>
          <w:rFonts w:hint="default" w:ascii="仿宋" w:hAnsi="仿宋" w:eastAsia="仿宋" w:cs="仿宋"/>
          <w:kern w:val="2"/>
          <w:sz w:val="30"/>
          <w:szCs w:val="30"/>
          <w:lang w:eastAsia="zh-CN" w:bidi="ar-SA"/>
        </w:rPr>
        <w:t>%，</w:t>
      </w:r>
      <w:r>
        <w:rPr>
          <w:rStyle w:val="14"/>
          <w:rFonts w:hint="eastAsia" w:ascii="仿宋" w:hAnsi="仿宋" w:eastAsia="仿宋" w:cs="仿宋"/>
          <w:kern w:val="2"/>
          <w:sz w:val="30"/>
          <w:szCs w:val="30"/>
          <w:lang w:val="en-US" w:eastAsia="zh-CN" w:bidi="ar-SA"/>
        </w:rPr>
        <w:t>包括基本建设支出等，主要用于西庄坪耕地进出平衡等项目支出。</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"三公"经费使用和管理情况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00" w:firstLineChars="200"/>
        <w:textAlignment w:val="auto"/>
        <w:rPr>
          <w:rFonts w:hint="default" w:ascii="楷体_GB2312" w:eastAsia="楷体_GB2312" w:cs="楷体_GB2312"/>
          <w:i w:val="0"/>
          <w:iCs w:val="0"/>
          <w:caps w:val="0"/>
          <w:color w:val="000000"/>
          <w:spacing w:val="0"/>
          <w:sz w:val="32"/>
          <w:szCs w:val="32"/>
          <w:shd w:val="clear" w:fill="FFFFFF"/>
        </w:rPr>
      </w:pPr>
      <w:r>
        <w:rPr>
          <w:rStyle w:val="14"/>
          <w:rFonts w:hint="eastAsia" w:ascii="仿宋" w:hAnsi="仿宋" w:eastAsia="仿宋" w:cs="仿宋"/>
          <w:kern w:val="2"/>
          <w:sz w:val="30"/>
          <w:szCs w:val="30"/>
          <w:lang w:val="en-US" w:eastAsia="zh-CN" w:bidi="ar-SA"/>
        </w:rPr>
        <w:t>2024年“三公”经费支出24.32万元，主要用于公务招待以及公务用车维护费用。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三、</w:t>
      </w:r>
      <w:r>
        <w:rPr>
          <w:rFonts w:hint="eastAsia" w:ascii="黑体" w:hAnsi="黑体" w:eastAsia="黑体" w:cs="黑体"/>
          <w:i w:val="0"/>
          <w:iCs w:val="0"/>
          <w:caps w:val="0"/>
          <w:color w:val="000000"/>
          <w:spacing w:val="0"/>
          <w:sz w:val="32"/>
          <w:szCs w:val="32"/>
          <w:shd w:val="clear" w:fill="FFFFFF"/>
        </w:rPr>
        <w:t>政府性基金预算支出情况</w:t>
      </w:r>
    </w:p>
    <w:p>
      <w:pPr>
        <w:pStyle w:val="15"/>
        <w:widowControl/>
        <w:numPr>
          <w:ilvl w:val="0"/>
          <w:numId w:val="0"/>
        </w:numPr>
        <w:spacing w:line="600" w:lineRule="exact"/>
        <w:ind w:firstLine="640" w:firstLineChars="200"/>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kern w:val="0"/>
          <w:sz w:val="32"/>
          <w:szCs w:val="32"/>
          <w:lang w:val="en-US" w:eastAsia="zh-CN"/>
        </w:rPr>
        <w:t>2024年政府性基金拨款12万元，印刷费支出5.9万元，占比49.17%，维修支出6.1万元，占比50.83%。</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四、</w:t>
      </w:r>
      <w:r>
        <w:rPr>
          <w:rFonts w:hint="eastAsia" w:ascii="黑体" w:hAnsi="黑体" w:eastAsia="黑体" w:cs="黑体"/>
          <w:i w:val="0"/>
          <w:iCs w:val="0"/>
          <w:caps w:val="0"/>
          <w:color w:val="000000"/>
          <w:spacing w:val="0"/>
          <w:sz w:val="32"/>
          <w:szCs w:val="32"/>
          <w:shd w:val="clear" w:fill="FFFFFF"/>
        </w:rPr>
        <w:t>国有资本经营预算支出情况</w:t>
      </w:r>
    </w:p>
    <w:p>
      <w:pPr>
        <w:spacing w:line="600" w:lineRule="exact"/>
        <w:ind w:firstLine="600" w:firstLineChars="200"/>
        <w:rPr>
          <w:rFonts w:hint="eastAsia" w:ascii="黑体" w:hAnsi="黑体" w:eastAsia="黑体" w:cs="黑体"/>
          <w:i w:val="0"/>
          <w:iCs w:val="0"/>
          <w:caps w:val="0"/>
          <w:color w:val="000000"/>
          <w:spacing w:val="0"/>
          <w:sz w:val="32"/>
          <w:szCs w:val="32"/>
          <w:shd w:val="clear" w:fill="FFFFFF"/>
        </w:rPr>
      </w:pPr>
      <w:r>
        <w:rPr>
          <w:rStyle w:val="14"/>
          <w:rFonts w:hint="default" w:ascii="仿宋" w:hAnsi="仿宋" w:eastAsia="仿宋" w:cs="仿宋"/>
          <w:kern w:val="2"/>
          <w:sz w:val="30"/>
          <w:szCs w:val="30"/>
          <w:lang w:eastAsia="zh-CN" w:bidi="ar-SA"/>
        </w:rPr>
        <w:t>本单位</w:t>
      </w:r>
      <w:r>
        <w:rPr>
          <w:rStyle w:val="14"/>
          <w:rFonts w:hint="eastAsia" w:ascii="仿宋" w:hAnsi="仿宋" w:eastAsia="仿宋" w:cs="仿宋"/>
          <w:kern w:val="2"/>
          <w:sz w:val="30"/>
          <w:szCs w:val="30"/>
          <w:lang w:eastAsia="zh-CN" w:bidi="ar-SA"/>
        </w:rPr>
        <w:t>无</w:t>
      </w:r>
      <w:r>
        <w:rPr>
          <w:rStyle w:val="14"/>
          <w:rFonts w:hint="default" w:ascii="仿宋" w:hAnsi="仿宋" w:eastAsia="仿宋" w:cs="仿宋"/>
          <w:kern w:val="2"/>
          <w:sz w:val="30"/>
          <w:szCs w:val="30"/>
          <w:lang w:eastAsia="zh-CN" w:bidi="ar-SA"/>
        </w:rPr>
        <w:t>国有资本经营预算支出。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五、</w:t>
      </w:r>
      <w:r>
        <w:rPr>
          <w:rFonts w:hint="eastAsia" w:ascii="黑体" w:hAnsi="黑体" w:eastAsia="黑体" w:cs="黑体"/>
          <w:i w:val="0"/>
          <w:iCs w:val="0"/>
          <w:caps w:val="0"/>
          <w:color w:val="000000"/>
          <w:spacing w:val="0"/>
          <w:sz w:val="32"/>
          <w:szCs w:val="32"/>
          <w:shd w:val="clear" w:fill="FFFFFF"/>
        </w:rPr>
        <w:t>社会保险基金预算支出情况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黑体" w:hAnsi="黑体" w:eastAsia="仿宋"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w:t>
      </w:r>
      <w:r>
        <w:rPr>
          <w:rStyle w:val="14"/>
          <w:rFonts w:hint="default" w:ascii="仿宋" w:hAnsi="仿宋" w:eastAsia="仿宋" w:cs="仿宋"/>
          <w:kern w:val="2"/>
          <w:sz w:val="30"/>
          <w:szCs w:val="30"/>
          <w:lang w:eastAsia="zh-CN" w:bidi="ar-SA"/>
        </w:rPr>
        <w:t>本单位</w:t>
      </w:r>
      <w:r>
        <w:rPr>
          <w:rStyle w:val="14"/>
          <w:rFonts w:hint="eastAsia" w:ascii="仿宋" w:hAnsi="仿宋" w:eastAsia="仿宋" w:cs="仿宋"/>
          <w:kern w:val="2"/>
          <w:sz w:val="30"/>
          <w:szCs w:val="30"/>
          <w:lang w:eastAsia="zh-CN" w:bidi="ar-SA"/>
        </w:rPr>
        <w:t>无社会保险基金预算支出。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keepNext w:val="0"/>
        <w:keepLines w:val="0"/>
        <w:widowControl/>
        <w:suppressLineNumbers w:val="0"/>
        <w:ind w:firstLine="750" w:firstLineChars="250"/>
        <w:jc w:val="left"/>
        <w:rPr>
          <w:rFonts w:hint="default" w:ascii="楷体_GB2312" w:eastAsia="楷体_GB2312" w:cs="楷体_GB2312"/>
          <w:i w:val="0"/>
          <w:iCs w:val="0"/>
          <w:caps w:val="0"/>
          <w:color w:val="000000"/>
          <w:spacing w:val="0"/>
          <w:sz w:val="32"/>
          <w:szCs w:val="32"/>
          <w:shd w:val="clear" w:fill="FFFFFF"/>
        </w:rPr>
      </w:pPr>
      <w:r>
        <w:rPr>
          <w:rStyle w:val="14"/>
          <w:rFonts w:hint="eastAsia" w:ascii="仿宋" w:hAnsi="仿宋" w:eastAsia="仿宋" w:cs="仿宋"/>
          <w:kern w:val="2"/>
          <w:sz w:val="30"/>
          <w:szCs w:val="30"/>
          <w:lang w:val="en-US" w:eastAsia="zh-CN" w:bidi="ar-SA"/>
        </w:rPr>
        <w:t>根据预算绩效管理要求，我镇认真贯彻国家和省、市关于预算绩效管理工作的有关要求，确定部门预算项目和预算额度，清晰描述预算项目开支范围和内容，确定预算项目的绩效目标、绩效指标和评价标准，为预算绩效控制、绩效分析、绩效评价打下好的基础，并建立了绩效管理贯穿预算全过程的机制。我镇根据整体支出绩效评定指标对各项量化评价，自评指标得分98分，并将按照规定</w:t>
      </w:r>
      <w:r>
        <w:rPr>
          <w:rStyle w:val="14"/>
          <w:rFonts w:hint="default" w:ascii="仿宋" w:hAnsi="仿宋" w:eastAsia="仿宋" w:cs="仿宋"/>
          <w:kern w:val="2"/>
          <w:sz w:val="30"/>
          <w:szCs w:val="30"/>
          <w:lang w:eastAsia="zh-CN" w:bidi="ar-SA"/>
        </w:rPr>
        <w:t>时间</w:t>
      </w:r>
      <w:r>
        <w:rPr>
          <w:rStyle w:val="14"/>
          <w:rFonts w:hint="eastAsia" w:ascii="仿宋" w:hAnsi="仿宋" w:eastAsia="仿宋" w:cs="仿宋"/>
          <w:kern w:val="2"/>
          <w:sz w:val="30"/>
          <w:szCs w:val="30"/>
          <w:lang w:val="en-US" w:eastAsia="zh-CN" w:bidi="ar-SA"/>
        </w:rPr>
        <w:t>进行公开。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hAnsiTheme="minorHAnsi"/>
          <w:i w:val="0"/>
          <w:iCs w:val="0"/>
          <w:caps w:val="0"/>
          <w:color w:val="000000"/>
          <w:spacing w:val="0"/>
          <w:kern w:val="0"/>
          <w:sz w:val="32"/>
          <w:szCs w:val="32"/>
          <w:shd w:val="clear" w:fill="FFFFFF"/>
          <w:lang w:val="en-US" w:eastAsia="zh-CN" w:bidi="ar"/>
        </w:rPr>
        <w:t>（二）</w:t>
      </w:r>
      <w:r>
        <w:rPr>
          <w:rFonts w:hint="default" w:ascii="楷体_GB2312" w:eastAsia="楷体_GB2312" w:cs="楷体_GB2312"/>
          <w:i w:val="0"/>
          <w:iCs w:val="0"/>
          <w:caps w:val="0"/>
          <w:color w:val="000000"/>
          <w:spacing w:val="0"/>
          <w:sz w:val="32"/>
          <w:szCs w:val="32"/>
          <w:shd w:val="clear" w:fill="FFFFFF"/>
        </w:rPr>
        <w:t>评价指标分析</w:t>
      </w:r>
    </w:p>
    <w:p>
      <w:pPr>
        <w:ind w:firstLine="600" w:firstLineChars="200"/>
        <w:rPr>
          <w:rStyle w:val="14"/>
          <w:rFonts w:hint="eastAsia" w:ascii="仿宋" w:hAnsi="仿宋" w:eastAsia="仿宋" w:cs="仿宋"/>
          <w:kern w:val="2"/>
          <w:sz w:val="30"/>
          <w:szCs w:val="30"/>
          <w:lang w:val="en-US" w:eastAsia="zh-CN" w:bidi="ar-SA"/>
        </w:rPr>
      </w:pPr>
      <w:r>
        <w:rPr>
          <w:rStyle w:val="14"/>
          <w:rFonts w:hint="eastAsia" w:ascii="仿宋" w:hAnsi="仿宋" w:eastAsia="仿宋" w:cs="仿宋"/>
          <w:kern w:val="2"/>
          <w:sz w:val="30"/>
          <w:szCs w:val="30"/>
          <w:lang w:val="en-US" w:eastAsia="zh-CN" w:bidi="ar-SA"/>
        </w:rPr>
        <w:t>1、投入情况分析</w:t>
      </w:r>
    </w:p>
    <w:p>
      <w:pPr>
        <w:ind w:firstLine="600" w:firstLineChars="200"/>
        <w:rPr>
          <w:rStyle w:val="14"/>
          <w:rFonts w:hint="default" w:ascii="仿宋" w:hAnsi="仿宋" w:eastAsia="仿宋" w:cs="仿宋"/>
          <w:kern w:val="2"/>
          <w:sz w:val="30"/>
          <w:szCs w:val="30"/>
          <w:lang w:val="en-US" w:eastAsia="zh-CN" w:bidi="ar-SA"/>
        </w:rPr>
      </w:pPr>
      <w:r>
        <w:rPr>
          <w:rStyle w:val="14"/>
          <w:rFonts w:hint="eastAsia" w:ascii="仿宋" w:hAnsi="仿宋" w:eastAsia="仿宋" w:cs="仿宋"/>
          <w:kern w:val="2"/>
          <w:sz w:val="30"/>
          <w:szCs w:val="30"/>
          <w:lang w:val="en-US" w:eastAsia="zh-CN" w:bidi="ar-SA"/>
        </w:rPr>
        <w:t>按时完成</w:t>
      </w:r>
      <w:r>
        <w:rPr>
          <w:rStyle w:val="14"/>
          <w:rFonts w:hint="default" w:ascii="仿宋" w:hAnsi="仿宋" w:eastAsia="仿宋" w:cs="仿宋"/>
          <w:kern w:val="2"/>
          <w:sz w:val="30"/>
          <w:szCs w:val="30"/>
          <w:lang w:eastAsia="zh-CN" w:bidi="ar-SA"/>
        </w:rPr>
        <w:t>202</w:t>
      </w:r>
      <w:r>
        <w:rPr>
          <w:rStyle w:val="14"/>
          <w:rFonts w:hint="eastAsia" w:ascii="仿宋" w:hAnsi="仿宋" w:eastAsia="仿宋" w:cs="仿宋"/>
          <w:kern w:val="2"/>
          <w:sz w:val="30"/>
          <w:szCs w:val="30"/>
          <w:lang w:val="en-US" w:eastAsia="zh-CN" w:bidi="ar-SA"/>
        </w:rPr>
        <w:t>4年预算编制及公开，</w:t>
      </w:r>
      <w:r>
        <w:rPr>
          <w:rStyle w:val="14"/>
          <w:rFonts w:hint="default" w:ascii="仿宋" w:hAnsi="仿宋" w:eastAsia="仿宋" w:cs="仿宋"/>
          <w:kern w:val="2"/>
          <w:sz w:val="30"/>
          <w:szCs w:val="30"/>
          <w:lang w:eastAsia="zh-CN" w:bidi="ar-SA"/>
        </w:rPr>
        <w:t>全年</w:t>
      </w:r>
      <w:r>
        <w:rPr>
          <w:rStyle w:val="14"/>
          <w:rFonts w:hint="eastAsia" w:ascii="仿宋" w:hAnsi="仿宋" w:eastAsia="仿宋" w:cs="仿宋"/>
          <w:kern w:val="2"/>
          <w:sz w:val="30"/>
          <w:szCs w:val="30"/>
          <w:lang w:val="en-US" w:eastAsia="zh-CN" w:bidi="ar-SA"/>
        </w:rPr>
        <w:t>预算收入1907.71万元，预算支出1907.71万元。全年目标有1：贯彻执行规划建设，基础设施建设，稳定和完善农村基本经营管理全面实施下政府各项决策部署，确保各项工作目标任务圆满完成。2 ：计划完成公务车辆运行费支出预算金额的100%。3：计划完成公务接待支出预算金额的100% 。4：计划完成基本支出预算金额的100%。所有目标均根据往年部门整体绩效及政府日常工作设立。</w:t>
      </w:r>
    </w:p>
    <w:p>
      <w:pPr>
        <w:keepNext w:val="0"/>
        <w:keepLines w:val="0"/>
        <w:widowControl/>
        <w:suppressLineNumbers w:val="0"/>
        <w:ind w:firstLine="600" w:firstLineChars="200"/>
        <w:jc w:val="left"/>
      </w:pPr>
      <w:r>
        <w:rPr>
          <w:rStyle w:val="14"/>
          <w:rFonts w:hint="eastAsia" w:ascii="仿宋" w:hAnsi="仿宋" w:eastAsia="仿宋" w:cs="仿宋"/>
          <w:kern w:val="2"/>
          <w:sz w:val="30"/>
          <w:szCs w:val="30"/>
          <w:lang w:val="en-US" w:eastAsia="zh-CN" w:bidi="ar-SA"/>
        </w:rPr>
        <w:t>2、过程情况分析</w:t>
      </w:r>
    </w:p>
    <w:p>
      <w:pPr>
        <w:ind w:firstLine="600" w:firstLineChars="200"/>
        <w:rPr>
          <w:rStyle w:val="14"/>
          <w:rFonts w:hint="eastAsia" w:ascii="仿宋" w:hAnsi="仿宋" w:eastAsia="仿宋" w:cs="仿宋"/>
          <w:kern w:val="2"/>
          <w:sz w:val="30"/>
          <w:szCs w:val="30"/>
          <w:lang w:val="en-US" w:eastAsia="zh-CN" w:bidi="ar-SA"/>
        </w:rPr>
      </w:pPr>
      <w:r>
        <w:rPr>
          <w:rStyle w:val="14"/>
          <w:rFonts w:hint="eastAsia" w:ascii="仿宋" w:hAnsi="仿宋" w:eastAsia="仿宋" w:cs="仿宋"/>
          <w:kern w:val="2"/>
          <w:sz w:val="30"/>
          <w:szCs w:val="30"/>
          <w:lang w:val="en-US" w:eastAsia="zh-CN" w:bidi="ar-SA"/>
        </w:rPr>
        <w:t>一是制定项目实施工作方案。保障项目顺利实施，确保项目完成既定绩效目标；二是制定项目资金管理办法，确保项目资金专款专用；三是进一步加强和规范合同管理，项目资金涉及签订合同的，严格按照合同管理办法进行；四是严格按照预算批复的项目资金绩效目标开展工作，年未100%的完成年初绩效目标；五是按季度编制预算绩效运行监控自查报告。</w:t>
      </w:r>
    </w:p>
    <w:p>
      <w:pPr>
        <w:ind w:firstLine="600" w:firstLineChars="200"/>
        <w:rPr>
          <w:rStyle w:val="14"/>
          <w:rFonts w:hint="eastAsia" w:ascii="仿宋" w:hAnsi="仿宋" w:eastAsia="仿宋" w:cs="仿宋"/>
          <w:kern w:val="2"/>
          <w:sz w:val="30"/>
          <w:szCs w:val="30"/>
          <w:lang w:val="en-US" w:eastAsia="zh-CN" w:bidi="ar-SA"/>
        </w:rPr>
      </w:pPr>
      <w:r>
        <w:rPr>
          <w:rStyle w:val="14"/>
          <w:rFonts w:hint="eastAsia" w:ascii="仿宋" w:hAnsi="仿宋" w:eastAsia="仿宋" w:cs="仿宋"/>
          <w:kern w:val="2"/>
          <w:sz w:val="30"/>
          <w:szCs w:val="30"/>
          <w:lang w:val="en-US" w:eastAsia="zh-CN" w:bidi="ar-SA"/>
        </w:rPr>
        <w:t>3、支出绩效情况分析</w:t>
      </w:r>
    </w:p>
    <w:p>
      <w:pPr>
        <w:ind w:firstLine="600" w:firstLineChars="200"/>
        <w:rPr>
          <w:rStyle w:val="14"/>
          <w:rFonts w:hint="eastAsia" w:ascii="仿宋" w:hAnsi="仿宋" w:eastAsia="仿宋" w:cs="仿宋"/>
          <w:kern w:val="2"/>
          <w:sz w:val="30"/>
          <w:szCs w:val="30"/>
          <w:lang w:val="en-US" w:eastAsia="zh-CN" w:bidi="ar-SA"/>
        </w:rPr>
      </w:pPr>
      <w:r>
        <w:rPr>
          <w:rStyle w:val="14"/>
          <w:rFonts w:hint="default" w:ascii="仿宋" w:hAnsi="仿宋" w:eastAsia="仿宋" w:cs="仿宋"/>
          <w:kern w:val="2"/>
          <w:sz w:val="30"/>
          <w:szCs w:val="30"/>
          <w:lang w:eastAsia="zh-CN" w:bidi="ar-SA"/>
        </w:rPr>
        <w:t>202</w:t>
      </w:r>
      <w:r>
        <w:rPr>
          <w:rStyle w:val="14"/>
          <w:rFonts w:hint="eastAsia" w:ascii="仿宋" w:hAnsi="仿宋" w:eastAsia="仿宋" w:cs="仿宋"/>
          <w:kern w:val="2"/>
          <w:sz w:val="30"/>
          <w:szCs w:val="30"/>
          <w:lang w:val="en-US" w:eastAsia="zh-CN" w:bidi="ar-SA"/>
        </w:rPr>
        <w:t>4年决算支出为1907.71万元，其中基本支出为1875.71万元，项目支出23万元，贯彻执行规划建设，基础设施建设，稳定和完善农村基本经营管理全面实施下政府各项决策部署，确保各项工作目标任务圆满完成。</w:t>
      </w:r>
    </w:p>
    <w:p>
      <w:pPr>
        <w:ind w:firstLine="600" w:firstLineChars="200"/>
        <w:rPr>
          <w:rStyle w:val="14"/>
          <w:rFonts w:hint="eastAsia" w:ascii="仿宋" w:hAnsi="仿宋" w:eastAsia="仿宋" w:cs="仿宋"/>
          <w:kern w:val="2"/>
          <w:sz w:val="30"/>
          <w:szCs w:val="30"/>
          <w:lang w:val="en-US" w:eastAsia="zh-CN" w:bidi="ar-SA"/>
        </w:rPr>
      </w:pPr>
      <w:r>
        <w:rPr>
          <w:rStyle w:val="14"/>
          <w:rFonts w:hint="eastAsia" w:ascii="仿宋" w:hAnsi="仿宋" w:eastAsia="仿宋" w:cs="仿宋"/>
          <w:kern w:val="2"/>
          <w:sz w:val="30"/>
          <w:szCs w:val="30"/>
          <w:lang w:val="en-US" w:eastAsia="zh-CN" w:bidi="ar-SA"/>
        </w:rPr>
        <w:t>4、效果情况分析</w:t>
      </w:r>
    </w:p>
    <w:p>
      <w:pPr>
        <w:ind w:firstLine="600" w:firstLineChars="200"/>
        <w:rPr>
          <w:rStyle w:val="14"/>
          <w:rFonts w:hint="default" w:ascii="仿宋" w:hAnsi="仿宋" w:eastAsia="仿宋" w:cs="仿宋"/>
          <w:kern w:val="2"/>
          <w:sz w:val="30"/>
          <w:szCs w:val="30"/>
          <w:lang w:val="en-US" w:eastAsia="zh-CN" w:bidi="ar-SA"/>
        </w:rPr>
      </w:pPr>
      <w:r>
        <w:rPr>
          <w:rStyle w:val="14"/>
          <w:rFonts w:hint="eastAsia" w:ascii="仿宋" w:hAnsi="仿宋" w:eastAsia="仿宋" w:cs="仿宋"/>
          <w:kern w:val="2"/>
          <w:sz w:val="30"/>
          <w:szCs w:val="30"/>
          <w:lang w:val="en-US" w:eastAsia="zh-CN" w:bidi="ar-SA"/>
        </w:rPr>
        <w:t>项目预算编制合理，充分的预计项目支出并完整反应，预算执行率达100%，未出现截留、挤占、挪用、虚列支出等情况。项目采购方式合规、采购流程规范，本年度支出的所有资金均由县财政局国库支付，支出符合国家财经法规和财务管理制度规定以及有关专项资金管理办法的规定；资金拨付有完整的审批程序和手续；项目支出按规定经过评估论证。我单位不断改善行政管理、严格经费及资产管理；做好防汛抗旱、防治大气污染工作；督促和指导乡村抓好基础管理工作和安全生产工作；改进文风会风，精简会议，提高了行政效率，各方面工作得到社会大众的肯定和好评，在年度绩效考核中成绩优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w:t>
      </w:r>
    </w:p>
    <w:p>
      <w:pPr>
        <w:keepNext w:val="0"/>
        <w:keepLines w:val="0"/>
        <w:widowControl/>
        <w:suppressLineNumbers w:val="0"/>
        <w:ind w:firstLine="600" w:firstLineChars="200"/>
        <w:jc w:val="left"/>
        <w:rPr>
          <w:rStyle w:val="14"/>
          <w:rFonts w:hint="default" w:ascii="仿宋" w:hAnsi="仿宋" w:eastAsia="仿宋" w:cs="仿宋"/>
          <w:kern w:val="2"/>
          <w:sz w:val="30"/>
          <w:szCs w:val="30"/>
          <w:lang w:val="en-US" w:eastAsia="zh-CN" w:bidi="ar-SA"/>
        </w:rPr>
      </w:pPr>
      <w:r>
        <w:rPr>
          <w:rStyle w:val="14"/>
          <w:rFonts w:hint="default" w:ascii="仿宋" w:hAnsi="仿宋" w:eastAsia="仿宋" w:cs="仿宋"/>
          <w:kern w:val="2"/>
          <w:sz w:val="30"/>
          <w:szCs w:val="30"/>
          <w:lang w:val="en-US" w:eastAsia="zh-CN" w:bidi="ar-SA"/>
        </w:rPr>
        <w:t>一是绩效管理理念有待进一步增强；</w:t>
      </w:r>
      <w:r>
        <w:rPr>
          <w:rStyle w:val="14"/>
          <w:rFonts w:hint="eastAsia" w:ascii="仿宋" w:hAnsi="仿宋" w:eastAsia="仿宋" w:cs="仿宋"/>
          <w:kern w:val="2"/>
          <w:sz w:val="30"/>
          <w:szCs w:val="30"/>
          <w:lang w:val="en-US" w:eastAsia="zh-CN" w:bidi="ar-SA"/>
        </w:rPr>
        <w:t>二是</w:t>
      </w:r>
      <w:r>
        <w:rPr>
          <w:rStyle w:val="14"/>
          <w:rFonts w:hint="default" w:ascii="仿宋" w:hAnsi="仿宋" w:eastAsia="仿宋" w:cs="仿宋"/>
          <w:kern w:val="2"/>
          <w:sz w:val="30"/>
          <w:szCs w:val="30"/>
          <w:lang w:val="en-US" w:eastAsia="zh-CN" w:bidi="ar-SA"/>
        </w:rPr>
        <w:t>评价指标量化不够细，在工作目标的数量、质量、标准的要求上，有些环节不够明确。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0"/>
          <w:sz w:val="32"/>
          <w:szCs w:val="32"/>
          <w:shd w:val="clear" w:fill="FFFFFF"/>
          <w:lang w:val="en-US" w:eastAsia="zh-CN" w:bidi="ar"/>
        </w:rPr>
        <w:t>八、</w:t>
      </w:r>
      <w:r>
        <w:rPr>
          <w:rFonts w:hint="eastAsia" w:ascii="黑体" w:hAnsi="黑体" w:eastAsia="黑体" w:cs="黑体"/>
          <w:i w:val="0"/>
          <w:iCs w:val="0"/>
          <w:caps w:val="0"/>
          <w:color w:val="000000"/>
          <w:spacing w:val="0"/>
          <w:sz w:val="32"/>
          <w:szCs w:val="32"/>
          <w:shd w:val="clear" w:fill="FFFFFF"/>
        </w:rPr>
        <w:t>下一步改进措施</w:t>
      </w:r>
    </w:p>
    <w:p>
      <w:pPr>
        <w:ind w:firstLine="602" w:firstLineChars="200"/>
        <w:rPr>
          <w:rStyle w:val="14"/>
          <w:rFonts w:hint="default" w:ascii="仿宋" w:hAnsi="仿宋" w:eastAsia="仿宋" w:cs="仿宋"/>
          <w:kern w:val="2"/>
          <w:sz w:val="30"/>
          <w:szCs w:val="30"/>
          <w:lang w:eastAsia="zh-CN" w:bidi="ar-SA"/>
        </w:rPr>
      </w:pPr>
      <w:r>
        <w:rPr>
          <w:rStyle w:val="14"/>
          <w:rFonts w:hint="eastAsia" w:ascii="仿宋" w:hAnsi="仿宋" w:eastAsia="仿宋" w:cs="仿宋"/>
          <w:b/>
          <w:bCs/>
          <w:kern w:val="2"/>
          <w:sz w:val="30"/>
          <w:szCs w:val="30"/>
          <w:lang w:eastAsia="zh-CN" w:bidi="ar-SA"/>
        </w:rPr>
        <w:t>一是</w:t>
      </w:r>
      <w:r>
        <w:rPr>
          <w:rStyle w:val="14"/>
          <w:rFonts w:hint="eastAsia" w:ascii="仿宋" w:hAnsi="仿宋" w:eastAsia="仿宋" w:cs="仿宋"/>
          <w:b/>
          <w:bCs/>
          <w:kern w:val="2"/>
          <w:sz w:val="30"/>
          <w:szCs w:val="30"/>
          <w:lang w:val="en-US" w:eastAsia="zh-CN" w:bidi="ar-SA"/>
        </w:rPr>
        <w:t>强化绩效评价理念，提高绩效评价意识</w:t>
      </w:r>
      <w:r>
        <w:rPr>
          <w:rStyle w:val="14"/>
          <w:rFonts w:hint="default" w:ascii="仿宋" w:hAnsi="仿宋" w:eastAsia="仿宋" w:cs="仿宋"/>
          <w:b/>
          <w:bCs/>
          <w:kern w:val="2"/>
          <w:sz w:val="30"/>
          <w:szCs w:val="30"/>
          <w:lang w:eastAsia="zh-CN" w:bidi="ar-SA"/>
        </w:rPr>
        <w:t>。</w:t>
      </w:r>
      <w:r>
        <w:rPr>
          <w:rStyle w:val="14"/>
          <w:rFonts w:hint="default" w:ascii="仿宋" w:hAnsi="仿宋" w:eastAsia="仿宋" w:cs="仿宋"/>
          <w:kern w:val="2"/>
          <w:sz w:val="30"/>
          <w:szCs w:val="30"/>
          <w:lang w:eastAsia="zh-CN" w:bidi="ar-SA"/>
        </w:rPr>
        <w:t>强化绩效管理理念，严把事前绩效评估关口，加强政策研究分析，全面了解掌握预算情况，从资金用途、支出计划、测算依据、绩效目标、绩效指标等方面进行认真规范，确保评价工作科学、严密、客观。</w:t>
      </w:r>
    </w:p>
    <w:p>
      <w:pPr>
        <w:ind w:firstLine="602" w:firstLineChars="200"/>
        <w:rPr>
          <w:rStyle w:val="14"/>
          <w:rFonts w:hint="eastAsia" w:ascii="仿宋" w:hAnsi="仿宋" w:eastAsia="仿宋" w:cs="仿宋"/>
          <w:kern w:val="2"/>
          <w:sz w:val="30"/>
          <w:szCs w:val="30"/>
          <w:lang w:val="en-US" w:eastAsia="zh-CN" w:bidi="ar-SA"/>
        </w:rPr>
      </w:pPr>
      <w:r>
        <w:rPr>
          <w:rStyle w:val="14"/>
          <w:rFonts w:hint="eastAsia" w:ascii="仿宋" w:hAnsi="仿宋" w:eastAsia="仿宋" w:cs="仿宋"/>
          <w:b/>
          <w:bCs/>
          <w:kern w:val="2"/>
          <w:sz w:val="30"/>
          <w:szCs w:val="30"/>
          <w:lang w:eastAsia="zh-CN" w:bidi="ar-SA"/>
        </w:rPr>
        <w:t>二是</w:t>
      </w:r>
      <w:r>
        <w:rPr>
          <w:rStyle w:val="14"/>
          <w:rFonts w:hint="eastAsia" w:ascii="仿宋" w:hAnsi="仿宋" w:eastAsia="仿宋" w:cs="仿宋"/>
          <w:b/>
          <w:bCs/>
          <w:kern w:val="2"/>
          <w:sz w:val="30"/>
          <w:szCs w:val="30"/>
          <w:lang w:val="en-US" w:eastAsia="zh-CN" w:bidi="ar-SA"/>
        </w:rPr>
        <w:t>细化预算编制工作，认真做好预算的编制。</w:t>
      </w:r>
      <w:r>
        <w:rPr>
          <w:rStyle w:val="14"/>
          <w:rFonts w:hint="eastAsia" w:ascii="仿宋" w:hAnsi="仿宋" w:eastAsia="仿宋" w:cs="仿宋"/>
          <w:kern w:val="2"/>
          <w:sz w:val="30"/>
          <w:szCs w:val="30"/>
          <w:lang w:val="en-US" w:eastAsia="zh-CN" w:bidi="ar-SA"/>
        </w:rPr>
        <w:t>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黑体" w:hAnsi="黑体" w:eastAsia="黑体" w:cs="黑体"/>
          <w:i w:val="0"/>
          <w:iCs w:val="0"/>
          <w:caps w:val="0"/>
          <w:color w:val="000000"/>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1024"/>
        </w:tabs>
        <w:kinsoku/>
        <w:wordWrap/>
        <w:overflowPunct/>
        <w:topLinePunct w:val="0"/>
        <w:autoSpaceDE/>
        <w:autoSpaceDN/>
        <w:bidi w:val="0"/>
        <w:adjustRightInd/>
        <w:snapToGrid w:val="0"/>
        <w:spacing w:before="0" w:beforeAutospacing="0" w:after="0" w:afterAutospacing="0" w:line="520" w:lineRule="exact"/>
        <w:ind w:left="0" w:right="0" w:firstLine="480" w:firstLineChars="200"/>
        <w:textAlignment w:val="auto"/>
        <w:rPr>
          <w:rFonts w:hint="eastAsia" w:ascii="Times New Roman" w:hAnsi="Times New Roman" w:cs="Times New Roman" w:eastAsiaTheme="minorEastAsia"/>
          <w:i w:val="0"/>
          <w:iCs w:val="0"/>
          <w:caps w:val="0"/>
          <w:color w:val="000000"/>
          <w:spacing w:val="0"/>
          <w:sz w:val="24"/>
          <w:szCs w:val="24"/>
          <w:lang w:eastAsia="zh-CN"/>
        </w:rPr>
      </w:pPr>
      <w:r>
        <w:rPr>
          <w:rFonts w:hint="eastAsia" w:ascii="Times New Roman" w:hAnsi="Times New Roman" w:cs="Times New Roman"/>
          <w:i w:val="0"/>
          <w:iCs w:val="0"/>
          <w:caps w:val="0"/>
          <w:color w:val="000000"/>
          <w:spacing w:val="0"/>
          <w:sz w:val="24"/>
          <w:szCs w:val="24"/>
          <w:lang w:eastAsia="zh-CN"/>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pPr>
        <w:rPr>
          <w:rFonts w:hint="default"/>
          <w:lang w:val="en-US" w:eastAsia="zh-CN"/>
        </w:rPr>
      </w:pPr>
      <w:bookmarkStart w:id="0" w:name="_GoBack"/>
      <w:bookmarkEnd w:id="0"/>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745336-4A41-400F-97EE-7F5C5B05DB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D0C8173-1A32-429F-A921-8FF3CF9190C3}"/>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FEDA384F-36E0-46B2-95B1-4927C154F853}"/>
  </w:font>
  <w:font w:name="仿宋_GB2312">
    <w:panose1 w:val="02010609030101010101"/>
    <w:charset w:val="86"/>
    <w:family w:val="auto"/>
    <w:pitch w:val="default"/>
    <w:sig w:usb0="00000001" w:usb1="080E0000" w:usb2="00000000" w:usb3="00000000" w:csb0="00040000" w:csb1="00000000"/>
    <w:embedRegular r:id="rId4" w:fontKey="{865C22D7-4D7D-4569-BC9D-C727FF58E95D}"/>
  </w:font>
  <w:font w:name="方正小标宋_GBK">
    <w:panose1 w:val="03000509000000000000"/>
    <w:charset w:val="86"/>
    <w:family w:val="auto"/>
    <w:pitch w:val="default"/>
    <w:sig w:usb0="00000001" w:usb1="080E0000" w:usb2="00000000" w:usb3="00000000" w:csb0="00040000" w:csb1="00000000"/>
    <w:embedRegular r:id="rId5" w:fontKey="{1071BC77-7204-43D4-A92A-04966B552237}"/>
  </w:font>
  <w:font w:name="仿宋">
    <w:panose1 w:val="02010609060101010101"/>
    <w:charset w:val="86"/>
    <w:family w:val="auto"/>
    <w:pitch w:val="default"/>
    <w:sig w:usb0="800002BF" w:usb1="38CF7CFA" w:usb2="00000016" w:usb3="00000000" w:csb0="00040001" w:csb1="00000000"/>
    <w:embedRegular r:id="rId6" w:fontKey="{3591D25A-4989-4855-B5A6-1D2599E689C6}"/>
  </w:font>
  <w:font w:name="方正仿宋_GB2312">
    <w:altName w:val="仿宋"/>
    <w:panose1 w:val="02000000000000000000"/>
    <w:charset w:val="86"/>
    <w:family w:val="auto"/>
    <w:pitch w:val="default"/>
    <w:sig w:usb0="00000000" w:usb1="00000000" w:usb2="00000012" w:usb3="00000000" w:csb0="00040001" w:csb1="00000000"/>
    <w:embedRegular r:id="rId7" w:fontKey="{F462F5D5-92ED-44B9-B156-F6533E7054B1}"/>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87712"/>
    <w:multiLevelType w:val="singleLevel"/>
    <w:tmpl w:val="91E87712"/>
    <w:lvl w:ilvl="0" w:tentative="0">
      <w:start w:val="2"/>
      <w:numFmt w:val="chineseCounting"/>
      <w:suff w:val="nothing"/>
      <w:lvlText w:val="（%1）"/>
      <w:lvlJc w:val="left"/>
      <w:rPr>
        <w:rFonts w:hint="eastAsia"/>
      </w:rPr>
    </w:lvl>
  </w:abstractNum>
  <w:abstractNum w:abstractNumId="1">
    <w:nsid w:val="049D91FD"/>
    <w:multiLevelType w:val="singleLevel"/>
    <w:tmpl w:val="049D91F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ZTE1NGI1YzgzZDU4YTQ0NWQzYjczMDA5MjQ0NTMifQ=="/>
    <w:docVar w:name="KSO_WPS_MARK_KEY" w:val="9920a277-c0c3-43b4-93d3-1636fe398e0b"/>
  </w:docVars>
  <w:rsids>
    <w:rsidRoot w:val="753C4E9B"/>
    <w:rsid w:val="046A73C6"/>
    <w:rsid w:val="05E95AA6"/>
    <w:rsid w:val="0C180A78"/>
    <w:rsid w:val="0CAF7D6D"/>
    <w:rsid w:val="0D276746"/>
    <w:rsid w:val="0D464D9C"/>
    <w:rsid w:val="0DD52794"/>
    <w:rsid w:val="0E956870"/>
    <w:rsid w:val="10C666A5"/>
    <w:rsid w:val="11427629"/>
    <w:rsid w:val="1223366A"/>
    <w:rsid w:val="143877FD"/>
    <w:rsid w:val="17C820DA"/>
    <w:rsid w:val="19E805B2"/>
    <w:rsid w:val="22FE234B"/>
    <w:rsid w:val="277E6F02"/>
    <w:rsid w:val="29990575"/>
    <w:rsid w:val="2AF6742D"/>
    <w:rsid w:val="2E833798"/>
    <w:rsid w:val="312A2265"/>
    <w:rsid w:val="350C3926"/>
    <w:rsid w:val="36FC0F5D"/>
    <w:rsid w:val="375773F8"/>
    <w:rsid w:val="38CC5315"/>
    <w:rsid w:val="393E32BB"/>
    <w:rsid w:val="3E416CC7"/>
    <w:rsid w:val="3FFC60E3"/>
    <w:rsid w:val="419B2857"/>
    <w:rsid w:val="41D71DA8"/>
    <w:rsid w:val="41EE0A1A"/>
    <w:rsid w:val="45D249F5"/>
    <w:rsid w:val="4C6611ED"/>
    <w:rsid w:val="52A1062C"/>
    <w:rsid w:val="54A3387D"/>
    <w:rsid w:val="552A0475"/>
    <w:rsid w:val="55DB5F5C"/>
    <w:rsid w:val="578D10CB"/>
    <w:rsid w:val="5A5915AC"/>
    <w:rsid w:val="63704FBC"/>
    <w:rsid w:val="653B1F96"/>
    <w:rsid w:val="6A12486A"/>
    <w:rsid w:val="6BA67810"/>
    <w:rsid w:val="753C4E9B"/>
    <w:rsid w:val="77CA616D"/>
    <w:rsid w:val="781113A7"/>
    <w:rsid w:val="791E6510"/>
    <w:rsid w:val="7C8D4A41"/>
    <w:rsid w:val="7C904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spacing w:beforeLines="0" w:afterLines="0"/>
      <w:ind w:firstLine="420"/>
    </w:pPr>
    <w:rPr>
      <w:rFonts w:hint="default"/>
      <w:sz w:val="32"/>
    </w:rPr>
  </w:style>
  <w:style w:type="character" w:styleId="10">
    <w:name w:val="Strong"/>
    <w:basedOn w:val="9"/>
    <w:qFormat/>
    <w:uiPriority w:val="0"/>
    <w:rPr>
      <w:b/>
    </w:rPr>
  </w:style>
  <w:style w:type="paragraph" w:customStyle="1" w:styleId="11">
    <w:name w:val="标题1"/>
    <w:basedOn w:val="2"/>
    <w:qFormat/>
    <w:uiPriority w:val="0"/>
    <w:rPr>
      <w:rFonts w:eastAsia="黑体"/>
    </w:rPr>
  </w:style>
  <w:style w:type="paragraph" w:customStyle="1" w:styleId="12">
    <w:name w:val="首行缩进"/>
    <w:basedOn w:val="1"/>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style01"/>
    <w:basedOn w:val="9"/>
    <w:qFormat/>
    <w:uiPriority w:val="0"/>
    <w:rPr>
      <w:rFonts w:hint="eastAsia" w:ascii="仿宋_GB2312" w:eastAsia="仿宋_GB2312"/>
      <w:color w:val="000000"/>
      <w:sz w:val="32"/>
      <w:szCs w:val="32"/>
    </w:rPr>
  </w:style>
  <w:style w:type="paragraph" w:styleId="15">
    <w:name w:val="List Paragraph"/>
    <w:basedOn w:val="1"/>
    <w:qFormat/>
    <w:uiPriority w:val="99"/>
    <w:pPr>
      <w:spacing w:line="365" w:lineRule="atLeast"/>
      <w:ind w:left="1" w:firstLine="420" w:firstLineChars="200"/>
      <w:textAlignment w:val="bottom"/>
    </w:pPr>
    <w:rPr>
      <w:rFonts w:ascii="Calibri" w:hAnsi="Calibri" w:eastAsia="宋体"/>
      <w:kern w:val="0"/>
      <w:sz w:val="2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4158</Words>
  <Characters>4506</Characters>
  <Lines>0</Lines>
  <Paragraphs>0</Paragraphs>
  <TotalTime>42</TotalTime>
  <ScaleCrop>false</ScaleCrop>
  <LinksUpToDate>false</LinksUpToDate>
  <CharactersWithSpaces>4655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我们都是奋斗者，追梦人</cp:lastModifiedBy>
  <cp:lastPrinted>2025-06-19T03:36:00Z</cp:lastPrinted>
  <dcterms:modified xsi:type="dcterms:W3CDTF">2025-09-09T07:08:53Z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5D42D4F3614A4B00BE79ED3F9CFCE246_13</vt:lpwstr>
  </property>
  <property fmtid="{D5CDD505-2E9C-101B-9397-08002B2CF9AE}" pid="4" name="KSOTemplateDocerSaveRecord">
    <vt:lpwstr>eyJoZGlkIjoiOGY2M2IyOGZjZWRhYTRjMDNhOTYwMzc5MmU4OWQ4YTkifQ==</vt:lpwstr>
  </property>
</Properties>
</file>