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spacing w:line="600" w:lineRule="exact"/>
        <w:ind w:firstLine="663" w:firstLineChars="150"/>
        <w:rPr>
          <w:rFonts w:ascii="仿宋" w:hAnsi="仿宋" w:eastAsia="仿宋"/>
          <w:b/>
          <w:bCs/>
          <w:sz w:val="44"/>
          <w:szCs w:val="44"/>
        </w:rPr>
      </w:pPr>
      <w:r>
        <w:rPr>
          <w:rFonts w:hint="eastAsia" w:ascii="仿宋" w:hAnsi="仿宋" w:eastAsia="仿宋"/>
          <w:b/>
          <w:bCs/>
          <w:sz w:val="44"/>
          <w:szCs w:val="44"/>
          <w:lang w:eastAsia="zh-CN"/>
        </w:rPr>
        <w:t>2022</w:t>
      </w:r>
      <w:r>
        <w:rPr>
          <w:rFonts w:hint="eastAsia" w:ascii="仿宋" w:hAnsi="仿宋" w:eastAsia="仿宋"/>
          <w:b/>
          <w:bCs/>
          <w:sz w:val="44"/>
          <w:szCs w:val="44"/>
        </w:rPr>
        <w:t>年度潭湾镇人民政府</w:t>
      </w:r>
      <w:r>
        <w:rPr>
          <w:rFonts w:ascii="仿宋" w:hAnsi="仿宋" w:eastAsia="仿宋"/>
          <w:b/>
          <w:bCs/>
          <w:sz w:val="44"/>
          <w:szCs w:val="44"/>
        </w:rPr>
        <w:t>部门整体支出</w:t>
      </w:r>
    </w:p>
    <w:p>
      <w:pPr>
        <w:autoSpaceDE w:val="0"/>
        <w:autoSpaceDN w:val="0"/>
        <w:adjustRightInd w:val="0"/>
        <w:spacing w:line="520" w:lineRule="exact"/>
        <w:ind w:firstLine="3092" w:firstLineChars="700"/>
        <w:rPr>
          <w:rFonts w:ascii="仿宋" w:hAnsi="仿宋" w:eastAsia="仿宋"/>
          <w:b/>
          <w:bCs/>
          <w:sz w:val="44"/>
          <w:szCs w:val="44"/>
        </w:rPr>
      </w:pPr>
      <w:r>
        <w:rPr>
          <w:rFonts w:ascii="仿宋" w:hAnsi="仿宋" w:eastAsia="仿宋"/>
          <w:b/>
          <w:bCs/>
          <w:sz w:val="44"/>
          <w:szCs w:val="44"/>
        </w:rPr>
        <w:t>绩效评价报告</w:t>
      </w:r>
    </w:p>
    <w:p>
      <w:pPr>
        <w:spacing w:line="600" w:lineRule="exact"/>
        <w:ind w:left="210" w:firstLine="640"/>
        <w:jc w:val="center"/>
        <w:rPr>
          <w:rFonts w:ascii="仿宋" w:hAnsi="仿宋" w:eastAsia="仿宋" w:cs="仿宋"/>
          <w:sz w:val="32"/>
          <w:szCs w:val="32"/>
        </w:rPr>
      </w:pPr>
    </w:p>
    <w:p>
      <w:pPr>
        <w:spacing w:line="600" w:lineRule="exact"/>
        <w:ind w:left="210" w:firstLine="640"/>
        <w:jc w:val="center"/>
        <w:rPr>
          <w:rFonts w:ascii="仿宋" w:hAnsi="仿宋" w:eastAsia="仿宋" w:cs="仿宋"/>
          <w:sz w:val="32"/>
          <w:szCs w:val="32"/>
        </w:rPr>
      </w:pPr>
    </w:p>
    <w:p>
      <w:pPr>
        <w:spacing w:line="600" w:lineRule="exact"/>
        <w:ind w:left="210" w:firstLine="640"/>
        <w:jc w:val="center"/>
        <w:rPr>
          <w:rFonts w:ascii="仿宋" w:hAnsi="仿宋" w:eastAsia="仿宋" w:cs="仿宋"/>
          <w:sz w:val="32"/>
          <w:szCs w:val="32"/>
        </w:rPr>
      </w:pPr>
    </w:p>
    <w:p>
      <w:pPr>
        <w:spacing w:line="600" w:lineRule="exact"/>
        <w:ind w:left="210" w:firstLine="640"/>
        <w:jc w:val="center"/>
        <w:rPr>
          <w:rFonts w:ascii="仿宋" w:hAnsi="仿宋" w:eastAsia="仿宋" w:cs="仿宋"/>
          <w:sz w:val="32"/>
          <w:szCs w:val="32"/>
        </w:rPr>
      </w:pPr>
    </w:p>
    <w:p>
      <w:pPr>
        <w:spacing w:line="600" w:lineRule="exact"/>
        <w:ind w:left="210" w:firstLine="640"/>
        <w:jc w:val="center"/>
        <w:rPr>
          <w:rFonts w:ascii="仿宋" w:hAnsi="仿宋" w:eastAsia="仿宋" w:cs="仿宋"/>
          <w:sz w:val="32"/>
          <w:szCs w:val="32"/>
        </w:rPr>
      </w:pPr>
    </w:p>
    <w:p>
      <w:pPr>
        <w:spacing w:line="600" w:lineRule="exact"/>
        <w:ind w:left="210" w:firstLine="640"/>
        <w:jc w:val="center"/>
        <w:rPr>
          <w:rFonts w:ascii="仿宋" w:hAnsi="仿宋" w:eastAsia="仿宋" w:cs="仿宋"/>
          <w:sz w:val="32"/>
          <w:szCs w:val="32"/>
        </w:rPr>
      </w:pPr>
    </w:p>
    <w:p>
      <w:pPr>
        <w:spacing w:line="600" w:lineRule="exact"/>
        <w:ind w:firstLine="960" w:firstLineChars="300"/>
        <w:jc w:val="both"/>
        <w:rPr>
          <w:rFonts w:hint="eastAsia" w:ascii="楷体" w:hAnsi="楷体" w:eastAsia="楷体" w:cs="楷体"/>
          <w:b w:val="0"/>
          <w:bCs w:val="0"/>
          <w:i w:val="0"/>
          <w:iCs w:val="0"/>
          <w:caps w:val="0"/>
          <w:color w:val="000000"/>
          <w:spacing w:val="0"/>
          <w:sz w:val="32"/>
          <w:szCs w:val="32"/>
          <w:shd w:val="clear" w:fill="FFFFFF"/>
          <w:lang w:val="en-US" w:eastAsia="zh-CN"/>
        </w:rPr>
      </w:pPr>
      <w:r>
        <w:rPr>
          <w:rFonts w:hint="eastAsia" w:ascii="楷体" w:hAnsi="楷体" w:eastAsia="楷体" w:cs="楷体"/>
          <w:b w:val="0"/>
          <w:bCs w:val="0"/>
          <w:i w:val="0"/>
          <w:iCs w:val="0"/>
          <w:caps w:val="0"/>
          <w:color w:val="000000"/>
          <w:spacing w:val="0"/>
          <w:sz w:val="32"/>
          <w:szCs w:val="32"/>
          <w:shd w:val="clear" w:fill="FFFFFF"/>
          <w:lang w:val="en-US" w:eastAsia="zh-CN"/>
        </w:rPr>
        <w:t>单位名称（盖章）：辰溪县潭湾镇人民政府</w:t>
      </w:r>
    </w:p>
    <w:p>
      <w:pPr>
        <w:spacing w:line="600" w:lineRule="exact"/>
        <w:ind w:left="210" w:firstLine="2569" w:firstLineChars="803"/>
        <w:jc w:val="both"/>
        <w:rPr>
          <w:rFonts w:hint="default" w:ascii="黑体" w:hAnsi="宋体" w:eastAsia="黑体" w:cs="黑体"/>
          <w:b w:val="0"/>
          <w:bCs w:val="0"/>
          <w:i w:val="0"/>
          <w:iCs w:val="0"/>
          <w:caps w:val="0"/>
          <w:color w:val="000000"/>
          <w:spacing w:val="0"/>
          <w:sz w:val="32"/>
          <w:szCs w:val="32"/>
          <w:shd w:val="clear" w:fill="FFFFFF"/>
          <w:lang w:val="en-US" w:eastAsia="zh-CN"/>
        </w:rPr>
      </w:pPr>
      <w:r>
        <w:rPr>
          <w:rFonts w:ascii="楷体" w:hAnsi="楷体" w:eastAsia="楷体" w:cs="楷体"/>
          <w:b w:val="0"/>
          <w:bCs w:val="0"/>
          <w:i w:val="0"/>
          <w:iCs w:val="0"/>
          <w:caps w:val="0"/>
          <w:color w:val="000000"/>
          <w:spacing w:val="0"/>
          <w:sz w:val="32"/>
          <w:szCs w:val="32"/>
          <w:shd w:val="clear" w:fill="FFFFFF"/>
        </w:rPr>
        <w:t>202</w:t>
      </w:r>
      <w:r>
        <w:rPr>
          <w:rFonts w:hint="eastAsia" w:ascii="楷体" w:hAnsi="楷体" w:eastAsia="楷体" w:cs="楷体"/>
          <w:b w:val="0"/>
          <w:bCs w:val="0"/>
          <w:i w:val="0"/>
          <w:iCs w:val="0"/>
          <w:caps w:val="0"/>
          <w:color w:val="000000"/>
          <w:spacing w:val="0"/>
          <w:sz w:val="32"/>
          <w:szCs w:val="32"/>
          <w:shd w:val="clear" w:fill="FFFFFF"/>
          <w:lang w:val="en-US" w:eastAsia="zh-CN"/>
        </w:rPr>
        <w:t>3</w:t>
      </w:r>
      <w:r>
        <w:rPr>
          <w:rFonts w:hint="eastAsia" w:ascii="楷体" w:hAnsi="楷体" w:eastAsia="楷体" w:cs="楷体"/>
          <w:b w:val="0"/>
          <w:bCs w:val="0"/>
          <w:i w:val="0"/>
          <w:iCs w:val="0"/>
          <w:caps w:val="0"/>
          <w:color w:val="000000"/>
          <w:spacing w:val="0"/>
          <w:sz w:val="32"/>
          <w:szCs w:val="32"/>
          <w:shd w:val="clear" w:fill="FFFFFF"/>
        </w:rPr>
        <w:t>年</w:t>
      </w:r>
      <w:r>
        <w:rPr>
          <w:rFonts w:hint="eastAsia" w:ascii="楷体" w:hAnsi="楷体" w:eastAsia="楷体" w:cs="楷体"/>
          <w:b w:val="0"/>
          <w:bCs w:val="0"/>
          <w:i w:val="0"/>
          <w:iCs w:val="0"/>
          <w:caps w:val="0"/>
          <w:color w:val="000000"/>
          <w:spacing w:val="0"/>
          <w:sz w:val="32"/>
          <w:szCs w:val="32"/>
          <w:shd w:val="clear" w:fill="FFFFFF"/>
          <w:lang w:val="en-US" w:eastAsia="zh-CN"/>
        </w:rPr>
        <w:t>3</w:t>
      </w:r>
      <w:r>
        <w:rPr>
          <w:rFonts w:hint="eastAsia" w:ascii="楷体" w:hAnsi="楷体" w:eastAsia="楷体" w:cs="楷体"/>
          <w:b w:val="0"/>
          <w:bCs w:val="0"/>
          <w:i w:val="0"/>
          <w:iCs w:val="0"/>
          <w:caps w:val="0"/>
          <w:color w:val="000000"/>
          <w:spacing w:val="0"/>
          <w:sz w:val="32"/>
          <w:szCs w:val="32"/>
          <w:shd w:val="clear" w:fill="FFFFFF"/>
        </w:rPr>
        <w:t>月2</w:t>
      </w:r>
      <w:r>
        <w:rPr>
          <w:rFonts w:hint="eastAsia" w:ascii="楷体" w:hAnsi="楷体" w:eastAsia="楷体" w:cs="楷体"/>
          <w:b w:val="0"/>
          <w:bCs w:val="0"/>
          <w:i w:val="0"/>
          <w:iCs w:val="0"/>
          <w:caps w:val="0"/>
          <w:color w:val="000000"/>
          <w:spacing w:val="0"/>
          <w:sz w:val="32"/>
          <w:szCs w:val="32"/>
          <w:shd w:val="clear" w:fill="FFFFFF"/>
          <w:lang w:val="en-US" w:eastAsia="zh-CN"/>
        </w:rPr>
        <w:t>0</w:t>
      </w:r>
      <w:r>
        <w:rPr>
          <w:rFonts w:hint="eastAsia" w:ascii="楷体" w:hAnsi="楷体" w:eastAsia="楷体" w:cs="楷体"/>
          <w:b w:val="0"/>
          <w:bCs w:val="0"/>
          <w:i w:val="0"/>
          <w:iCs w:val="0"/>
          <w:caps w:val="0"/>
          <w:color w:val="000000"/>
          <w:spacing w:val="0"/>
          <w:sz w:val="32"/>
          <w:szCs w:val="32"/>
          <w:shd w:val="clear" w:fill="FFFFFF"/>
        </w:rPr>
        <w:t>日</w:t>
      </w:r>
    </w:p>
    <w:p>
      <w:pPr>
        <w:spacing w:line="600" w:lineRule="exact"/>
        <w:ind w:left="210" w:firstLine="640"/>
        <w:jc w:val="center"/>
        <w:rPr>
          <w:rFonts w:hint="eastAsia" w:ascii="黑体" w:hAnsi="宋体" w:eastAsia="黑体" w:cs="黑体"/>
          <w:b w:val="0"/>
          <w:bCs w:val="0"/>
          <w:i w:val="0"/>
          <w:iCs w:val="0"/>
          <w:caps w:val="0"/>
          <w:color w:val="000000"/>
          <w:spacing w:val="0"/>
          <w:sz w:val="32"/>
          <w:szCs w:val="32"/>
          <w:shd w:val="clear" w:fill="FFFFFF"/>
          <w:lang w:eastAsia="zh-CN"/>
        </w:rPr>
      </w:pPr>
    </w:p>
    <w:p>
      <w:pPr>
        <w:spacing w:line="600" w:lineRule="exact"/>
        <w:ind w:left="210" w:firstLine="640"/>
        <w:jc w:val="center"/>
        <w:rPr>
          <w:rFonts w:hint="eastAsia" w:ascii="黑体" w:hAnsi="宋体" w:eastAsia="黑体" w:cs="黑体"/>
          <w:i w:val="0"/>
          <w:iCs w:val="0"/>
          <w:caps w:val="0"/>
          <w:color w:val="000000"/>
          <w:spacing w:val="0"/>
          <w:sz w:val="28"/>
          <w:szCs w:val="28"/>
          <w:shd w:val="clear" w:fill="FFFFFF"/>
          <w:lang w:eastAsia="zh-CN"/>
        </w:rPr>
      </w:pPr>
    </w:p>
    <w:p>
      <w:pPr>
        <w:spacing w:line="600" w:lineRule="exact"/>
        <w:ind w:left="210" w:firstLine="640"/>
        <w:jc w:val="center"/>
        <w:rPr>
          <w:rFonts w:hint="eastAsia" w:ascii="黑体" w:hAnsi="宋体" w:eastAsia="黑体" w:cs="黑体"/>
          <w:i w:val="0"/>
          <w:iCs w:val="0"/>
          <w:caps w:val="0"/>
          <w:color w:val="000000"/>
          <w:spacing w:val="0"/>
          <w:sz w:val="28"/>
          <w:szCs w:val="28"/>
          <w:shd w:val="clear" w:fill="FFFFFF"/>
          <w:lang w:eastAsia="zh-CN"/>
        </w:rPr>
      </w:pPr>
    </w:p>
    <w:p>
      <w:pPr>
        <w:autoSpaceDE w:val="0"/>
        <w:autoSpaceDN w:val="0"/>
        <w:adjustRightInd w:val="0"/>
        <w:spacing w:line="520" w:lineRule="exact"/>
        <w:ind w:firstLine="723" w:firstLineChars="200"/>
        <w:rPr>
          <w:rFonts w:eastAsia="楷体_GB2312"/>
          <w:b/>
          <w:bCs/>
          <w:sz w:val="36"/>
          <w:szCs w:val="36"/>
        </w:rPr>
      </w:pPr>
      <w:r>
        <w:rPr>
          <w:rFonts w:hint="eastAsia" w:ascii="楷体_GB2312" w:eastAsia="楷体_GB2312" w:cs="楷体_GB2312"/>
          <w:b/>
          <w:bCs/>
          <w:sz w:val="36"/>
          <w:szCs w:val="36"/>
        </w:rPr>
        <w:t>一、部门基本情况</w:t>
      </w:r>
    </w:p>
    <w:p>
      <w:pPr>
        <w:spacing w:line="600" w:lineRule="exact"/>
        <w:ind w:firstLine="560"/>
        <w:rPr>
          <w:rFonts w:ascii="黑体" w:hAnsi="黑体" w:eastAsia="黑体" w:cs="黑体"/>
          <w:kern w:val="0"/>
          <w:sz w:val="32"/>
          <w:szCs w:val="32"/>
        </w:rPr>
      </w:pPr>
      <w:r>
        <w:rPr>
          <w:rFonts w:hint="eastAsia" w:ascii="黑体" w:hAnsi="黑体" w:eastAsia="黑体" w:cs="黑体"/>
          <w:kern w:val="0"/>
          <w:sz w:val="32"/>
          <w:szCs w:val="32"/>
        </w:rPr>
        <w:t>（一）部门职责与机构设置</w:t>
      </w:r>
    </w:p>
    <w:p>
      <w:pPr>
        <w:spacing w:line="600" w:lineRule="exact"/>
        <w:ind w:firstLine="56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1、党政办公室：负责协助乡领导处理日常党务和行政管理工作；协助抓好纪检、监察、群团工作和精神文明建设；做好文秘、接待、后勤、信息、统计、档案、调研、督查工作；负责政策性文件、具体行政行为的审核和上报备案以及行政执法证件的使用管理，承办以乡政府为被告或被申请人的行政诉讼、行政赔偿和行政复议案件，具体承担依法行政、政务公开和行政执法监督的各项工作；联系联络人大、政协工作，承办乡党委、政府和上级主管部门交办的其他事项。</w:t>
      </w:r>
    </w:p>
    <w:p>
      <w:pPr>
        <w:spacing w:line="600" w:lineRule="exact"/>
        <w:ind w:firstLine="56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2、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职责；负责武装、民宗、群团和精神文明建设等工作。</w:t>
      </w:r>
    </w:p>
    <w:p>
      <w:pPr>
        <w:spacing w:line="600" w:lineRule="exact"/>
        <w:ind w:firstLine="56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3、财政所：负责编制和执行乡政府财政预决算工作，管理预算内外资金、编制财政预算草案；负责管理和监督本乡所属行政事业单位的财务活动；负责财政收支管理，乡财政性资金债权管理；负责政府性项目及大额固定资金等方面的内审工作；负责党委会等会议决定事项的督办工作。</w:t>
      </w:r>
    </w:p>
    <w:p>
      <w:pPr>
        <w:spacing w:line="600" w:lineRule="exact"/>
        <w:ind w:firstLine="56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4、经济发展办公室：贯彻国家对农业的方针、政策和法规，对农业产业结构调整，农业资源配置和产品品质改善实施服务；负责全乡农村经济发展规划和重要项目申报工作，指导全乡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委、政府和上级业务部门交办的其它工作。</w:t>
      </w:r>
    </w:p>
    <w:p>
      <w:pPr>
        <w:spacing w:line="600" w:lineRule="exact"/>
        <w:ind w:firstLine="56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5、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优待款及各项抚恤金的发放；负责民族宗教与侨务工作；负责城乡建设规划的编制，城镇、乡村建设工作；负责土地使用、管理及其相关工作；完成党委、政府分配的其它中心工作。</w:t>
      </w:r>
    </w:p>
    <w:p>
      <w:pPr>
        <w:spacing w:line="600" w:lineRule="exact"/>
        <w:ind w:firstLine="56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6、社会治安和应急管理办公室：负责贯彻执行上级有关基层社会治安综合治理和应急管理工作的方针、政策和法律法规；健全乡、村两级社会治安（平安建设）、信访维稳、网格化管理等工作，指导协调民事纠纷调解处理工作；加强法制教育，广泛开展农村普法宣传；加强对外来人口的管理，开展 “两劳”人员的帮教工作，强化社会治安；负责安全生产监管、防汛抗旱、防灾减灾、抗震救灾、森林防火等工作；承办乡党委、政府和上级主管部门交办的其他事项。</w:t>
      </w:r>
    </w:p>
    <w:p>
      <w:pPr>
        <w:spacing w:line="600" w:lineRule="exact"/>
        <w:ind w:firstLine="56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7、自然资源和生态环境办公室：负责实施村规划和村镇建设管理等工作。监督、指导公共基础设施建设等。按照管理权限，指导、协调和实施自然资源、林政管理、造林绿化、生态环境保护等工作，组织协调生态环境污染事故与生态破坏事件查处，承办乡党委、政府和上级主管部门交办的其他事项。</w:t>
      </w:r>
    </w:p>
    <w:p>
      <w:pPr>
        <w:spacing w:line="600" w:lineRule="exact"/>
        <w:ind w:firstLine="56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8、农业综合服务中心。为乡镇直属公益一类事业单位。 负责宣传和贯彻执行农技、农机、水利、林业、畜牧水产、动物防疫、农村经营等方面的方针政策和法律法规，为辖区内农村、农业发展和提高农民科技文化水平提供技术支持和服务保障；负责农技、农机、水利、畜牧水产、动物防疫、林业等方面技术推广应用与指导，负责农作物病虫害监测与防治和农产品质量监管服务；负责水利基本建设的规划实施、辖区水利设施防洪保安与开发利用以及防汛抗旱工作；负责保护森林资源、推广林业科学技术、加强林区生态建设、森林防火与病虫害防治；做好其他相关社会服务工作。</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w:t>
      </w:r>
      <w:r>
        <w:rPr>
          <w:rFonts w:hint="eastAsia" w:ascii="黑体" w:hAnsi="黑体" w:eastAsia="黑体" w:cs="黑体"/>
          <w:kern w:val="0"/>
          <w:sz w:val="32"/>
          <w:szCs w:val="32"/>
        </w:rPr>
        <w:t>二）、人员情况</w:t>
      </w:r>
    </w:p>
    <w:p>
      <w:pPr>
        <w:spacing w:line="600" w:lineRule="exact"/>
        <w:ind w:firstLine="56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人员情况：截至2022年底，潭湾镇人民政府核定人员编制83人，行政编制32人，事业编制51人；实际在编95人（行政编制31人，事业编制64人），财政实际供给95人。</w:t>
      </w:r>
    </w:p>
    <w:p>
      <w:pPr>
        <w:numPr>
          <w:ilvl w:val="0"/>
          <w:numId w:val="1"/>
        </w:numPr>
        <w:ind w:firstLine="560"/>
        <w:rPr>
          <w:rFonts w:ascii="黑体" w:hAnsi="黑体" w:eastAsia="黑体" w:cs="黑体"/>
          <w:kern w:val="0"/>
          <w:sz w:val="32"/>
          <w:szCs w:val="32"/>
        </w:rPr>
      </w:pPr>
      <w:r>
        <w:rPr>
          <w:rFonts w:hint="eastAsia" w:ascii="黑体" w:hAnsi="黑体" w:eastAsia="黑体" w:cs="黑体"/>
          <w:kern w:val="0"/>
          <w:sz w:val="32"/>
          <w:szCs w:val="32"/>
        </w:rPr>
        <w:t>、部门年度总体工作任务和重点工作任务</w:t>
      </w:r>
    </w:p>
    <w:p>
      <w:pPr>
        <w:spacing w:line="600" w:lineRule="exact"/>
        <w:ind w:firstLine="56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为实现乡政府正常运转，各职能部门正常履职。按计划组织本级财政收入和地方税的征收，完成国家财政计划，不断培植税源，管好财政资金，增强财政实力。</w:t>
      </w:r>
    </w:p>
    <w:p>
      <w:pPr>
        <w:numPr>
          <w:ilvl w:val="0"/>
          <w:numId w:val="1"/>
        </w:numPr>
        <w:ind w:firstLine="560"/>
        <w:rPr>
          <w:rFonts w:ascii="黑体" w:hAnsi="黑体" w:eastAsia="黑体" w:cs="黑体"/>
          <w:kern w:val="0"/>
          <w:sz w:val="32"/>
          <w:szCs w:val="32"/>
        </w:rPr>
      </w:pPr>
      <w:r>
        <w:rPr>
          <w:rFonts w:hint="eastAsia" w:ascii="黑体" w:hAnsi="黑体" w:eastAsia="黑体" w:cs="黑体"/>
          <w:kern w:val="0"/>
          <w:sz w:val="32"/>
          <w:szCs w:val="32"/>
        </w:rPr>
        <w:t>、部门年度整体收支情况</w:t>
      </w:r>
    </w:p>
    <w:p>
      <w:pPr>
        <w:spacing w:line="600" w:lineRule="exact"/>
        <w:ind w:firstLine="56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2022年度部门决算收入1254.8</w:t>
      </w:r>
      <w:r>
        <w:rPr>
          <w:rStyle w:val="10"/>
          <w:rFonts w:hint="default" w:ascii="仿宋" w:hAnsi="仿宋" w:eastAsia="仿宋" w:cs="仿宋"/>
          <w:kern w:val="2"/>
          <w:sz w:val="30"/>
          <w:szCs w:val="30"/>
          <w:lang w:eastAsia="zh-CN" w:bidi="ar-SA"/>
        </w:rPr>
        <w:t>5</w:t>
      </w:r>
      <w:r>
        <w:rPr>
          <w:rStyle w:val="10"/>
          <w:rFonts w:hint="eastAsia" w:ascii="仿宋" w:hAnsi="仿宋" w:eastAsia="仿宋" w:cs="仿宋"/>
          <w:kern w:val="2"/>
          <w:sz w:val="30"/>
          <w:szCs w:val="30"/>
          <w:lang w:val="en-US" w:eastAsia="zh-CN" w:bidi="ar-SA"/>
        </w:rPr>
        <w:t>万元，财政拨款收入 1254.8</w:t>
      </w:r>
      <w:r>
        <w:rPr>
          <w:rStyle w:val="10"/>
          <w:rFonts w:hint="default" w:ascii="仿宋" w:hAnsi="仿宋" w:eastAsia="仿宋" w:cs="仿宋"/>
          <w:kern w:val="2"/>
          <w:sz w:val="30"/>
          <w:szCs w:val="30"/>
          <w:lang w:eastAsia="zh-CN" w:bidi="ar-SA"/>
        </w:rPr>
        <w:t>5</w:t>
      </w:r>
      <w:r>
        <w:rPr>
          <w:rStyle w:val="10"/>
          <w:rFonts w:hint="eastAsia" w:ascii="仿宋" w:hAnsi="仿宋" w:eastAsia="仿宋" w:cs="仿宋"/>
          <w:kern w:val="2"/>
          <w:sz w:val="30"/>
          <w:szCs w:val="30"/>
          <w:lang w:val="en-US" w:eastAsia="zh-CN" w:bidi="ar-SA"/>
        </w:rPr>
        <w:t>万元。比上年减少784.</w:t>
      </w:r>
      <w:r>
        <w:rPr>
          <w:rStyle w:val="10"/>
          <w:rFonts w:hint="default" w:ascii="仿宋" w:hAnsi="仿宋" w:eastAsia="仿宋" w:cs="仿宋"/>
          <w:kern w:val="2"/>
          <w:sz w:val="30"/>
          <w:szCs w:val="30"/>
          <w:lang w:eastAsia="zh-CN" w:bidi="ar-SA"/>
        </w:rPr>
        <w:t>39</w:t>
      </w:r>
      <w:r>
        <w:rPr>
          <w:rStyle w:val="10"/>
          <w:rFonts w:hint="eastAsia" w:ascii="仿宋" w:hAnsi="仿宋" w:eastAsia="仿宋" w:cs="仿宋"/>
          <w:kern w:val="2"/>
          <w:sz w:val="30"/>
          <w:szCs w:val="30"/>
          <w:lang w:val="en-US" w:eastAsia="zh-CN" w:bidi="ar-SA"/>
        </w:rPr>
        <w:t>万元，减少38.5%，原因是实行零余额报账制度，一收一支，本年财政拨款收入减少。</w:t>
      </w:r>
    </w:p>
    <w:p>
      <w:pPr>
        <w:spacing w:line="600" w:lineRule="exact"/>
        <w:ind w:firstLine="560"/>
        <w:rPr>
          <w:rStyle w:val="10"/>
          <w:rFonts w:hint="default"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2022年度部门决算支出1495.7</w:t>
      </w:r>
      <w:r>
        <w:rPr>
          <w:rStyle w:val="10"/>
          <w:rFonts w:hint="default" w:ascii="仿宋" w:hAnsi="仿宋" w:eastAsia="仿宋" w:cs="仿宋"/>
          <w:kern w:val="2"/>
          <w:sz w:val="30"/>
          <w:szCs w:val="30"/>
          <w:lang w:eastAsia="zh-CN" w:bidi="ar-SA"/>
        </w:rPr>
        <w:t>5</w:t>
      </w:r>
      <w:r>
        <w:rPr>
          <w:rStyle w:val="10"/>
          <w:rFonts w:hint="eastAsia" w:ascii="仿宋" w:hAnsi="仿宋" w:eastAsia="仿宋" w:cs="仿宋"/>
          <w:kern w:val="2"/>
          <w:sz w:val="30"/>
          <w:szCs w:val="30"/>
          <w:lang w:val="en-US" w:eastAsia="zh-CN" w:bidi="ar-SA"/>
        </w:rPr>
        <w:t>万元，其中：一般公共预算财政拨款基本支出1495.7</w:t>
      </w:r>
      <w:r>
        <w:rPr>
          <w:rStyle w:val="10"/>
          <w:rFonts w:hint="default" w:ascii="仿宋" w:hAnsi="仿宋" w:eastAsia="仿宋" w:cs="仿宋"/>
          <w:kern w:val="2"/>
          <w:sz w:val="30"/>
          <w:szCs w:val="30"/>
          <w:lang w:eastAsia="zh-CN" w:bidi="ar-SA"/>
        </w:rPr>
        <w:t>5</w:t>
      </w:r>
      <w:r>
        <w:rPr>
          <w:rStyle w:val="10"/>
          <w:rFonts w:hint="eastAsia" w:ascii="仿宋" w:hAnsi="仿宋" w:eastAsia="仿宋" w:cs="仿宋"/>
          <w:kern w:val="2"/>
          <w:sz w:val="30"/>
          <w:szCs w:val="30"/>
          <w:lang w:val="en-US" w:eastAsia="zh-CN" w:bidi="ar-SA"/>
        </w:rPr>
        <w:t>万元，其中基本支出1467.14万元，占总支出的98.09%；项目支出28.6万元，占总支出的1.91%。主要用于以下方面</w:t>
      </w:r>
      <w:r>
        <w:rPr>
          <w:rStyle w:val="10"/>
          <w:rFonts w:hint="eastAsia" w:ascii="仿宋" w:hAnsi="仿宋" w:eastAsia="仿宋" w:cs="仿宋"/>
          <w:kern w:val="2"/>
          <w:sz w:val="30"/>
          <w:szCs w:val="30"/>
          <w:lang w:val="zh-CN" w:eastAsia="zh-CN" w:bidi="ar-SA"/>
        </w:rPr>
        <w:t>：</w:t>
      </w:r>
      <w:r>
        <w:rPr>
          <w:rStyle w:val="10"/>
          <w:rFonts w:hint="eastAsia" w:ascii="仿宋" w:hAnsi="仿宋" w:eastAsia="仿宋" w:cs="仿宋"/>
          <w:kern w:val="2"/>
          <w:sz w:val="30"/>
          <w:szCs w:val="30"/>
          <w:lang w:val="en-US" w:eastAsia="zh-CN" w:bidi="ar-SA"/>
        </w:rPr>
        <w:t>一般公共服务支出1371.13万元，占总支出的91.67%。社会保障和就业支出11</w:t>
      </w:r>
      <w:r>
        <w:rPr>
          <w:rStyle w:val="10"/>
          <w:rFonts w:hint="default" w:ascii="仿宋" w:hAnsi="仿宋" w:eastAsia="仿宋" w:cs="仿宋"/>
          <w:kern w:val="2"/>
          <w:sz w:val="30"/>
          <w:szCs w:val="30"/>
          <w:lang w:eastAsia="zh-CN" w:bidi="ar-SA"/>
        </w:rPr>
        <w:t>1</w:t>
      </w:r>
      <w:r>
        <w:rPr>
          <w:rStyle w:val="10"/>
          <w:rFonts w:hint="eastAsia" w:ascii="仿宋" w:hAnsi="仿宋" w:eastAsia="仿宋" w:cs="仿宋"/>
          <w:kern w:val="2"/>
          <w:sz w:val="30"/>
          <w:szCs w:val="30"/>
          <w:lang w:val="en-US" w:eastAsia="zh-CN" w:bidi="ar-SA"/>
        </w:rPr>
        <w:t>万元，占总支出的7.42%。城乡社区支出0.1万元；占总支出的0.01%。灾害防治及应急管理支出12万元，占总支出的0.8%。文化旅游体育与传媒支出1.52万元，占总支出的0.1%。</w:t>
      </w:r>
    </w:p>
    <w:p>
      <w:pPr>
        <w:spacing w:line="600" w:lineRule="exact"/>
        <w:ind w:firstLine="600" w:firstLineChars="200"/>
        <w:rPr>
          <w:rStyle w:val="10"/>
          <w:rFonts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“三公”经费财政拨款支出决算说明</w:t>
      </w:r>
    </w:p>
    <w:p>
      <w:pPr>
        <w:widowControl/>
        <w:ind w:firstLine="600" w:firstLineChars="20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“三公”经费支出情况：2022年度</w:t>
      </w:r>
      <w:r>
        <w:rPr>
          <w:rStyle w:val="10"/>
          <w:rFonts w:ascii="仿宋" w:hAnsi="仿宋" w:eastAsia="仿宋" w:cs="仿宋"/>
          <w:kern w:val="2"/>
          <w:sz w:val="30"/>
          <w:szCs w:val="30"/>
          <w:lang w:val="en-US" w:eastAsia="zh-CN" w:bidi="ar-SA"/>
        </w:rPr>
        <w:t>“三公”经费财政拨款支出</w:t>
      </w:r>
      <w:r>
        <w:rPr>
          <w:rStyle w:val="10"/>
          <w:rFonts w:hint="default" w:ascii="仿宋" w:hAnsi="仿宋" w:eastAsia="仿宋" w:cs="仿宋"/>
          <w:kern w:val="2"/>
          <w:sz w:val="30"/>
          <w:szCs w:val="30"/>
          <w:lang w:eastAsia="zh-CN" w:bidi="ar-SA"/>
        </w:rPr>
        <w:t>10</w:t>
      </w:r>
      <w:r>
        <w:rPr>
          <w:rStyle w:val="10"/>
          <w:rFonts w:hint="eastAsia" w:ascii="仿宋" w:hAnsi="仿宋" w:eastAsia="仿宋" w:cs="仿宋"/>
          <w:kern w:val="2"/>
          <w:sz w:val="30"/>
          <w:szCs w:val="30"/>
          <w:lang w:val="en-US" w:eastAsia="zh-CN" w:bidi="ar-SA"/>
        </w:rPr>
        <w:t>万元，比上年减少13.8</w:t>
      </w:r>
      <w:r>
        <w:rPr>
          <w:rStyle w:val="10"/>
          <w:rFonts w:hint="default" w:ascii="仿宋" w:hAnsi="仿宋" w:eastAsia="仿宋" w:cs="仿宋"/>
          <w:kern w:val="2"/>
          <w:sz w:val="30"/>
          <w:szCs w:val="30"/>
          <w:lang w:eastAsia="zh-CN" w:bidi="ar-SA"/>
        </w:rPr>
        <w:t>4</w:t>
      </w:r>
      <w:r>
        <w:rPr>
          <w:rStyle w:val="10"/>
          <w:rFonts w:hint="eastAsia" w:ascii="仿宋" w:hAnsi="仿宋" w:eastAsia="仿宋" w:cs="仿宋"/>
          <w:kern w:val="2"/>
          <w:sz w:val="30"/>
          <w:szCs w:val="30"/>
          <w:lang w:val="en-US" w:eastAsia="zh-CN" w:bidi="ar-SA"/>
        </w:rPr>
        <w:t>万元，减少</w:t>
      </w:r>
      <w:r>
        <w:rPr>
          <w:rStyle w:val="10"/>
          <w:rFonts w:hint="default" w:ascii="仿宋" w:hAnsi="仿宋" w:eastAsia="仿宋" w:cs="仿宋"/>
          <w:kern w:val="2"/>
          <w:sz w:val="30"/>
          <w:szCs w:val="30"/>
          <w:lang w:eastAsia="zh-CN" w:bidi="ar-SA"/>
        </w:rPr>
        <w:t>58.47</w:t>
      </w:r>
      <w:r>
        <w:rPr>
          <w:rStyle w:val="10"/>
          <w:rFonts w:hint="eastAsia" w:ascii="仿宋" w:hAnsi="仿宋" w:eastAsia="仿宋" w:cs="仿宋"/>
          <w:kern w:val="2"/>
          <w:sz w:val="30"/>
          <w:szCs w:val="30"/>
          <w:lang w:val="en-US" w:eastAsia="zh-CN" w:bidi="ar-SA"/>
        </w:rPr>
        <w:t>%，变化的主要原因是2022年度部分三公费用还未报销</w:t>
      </w:r>
      <w:r>
        <w:rPr>
          <w:rStyle w:val="10"/>
          <w:rFonts w:hint="eastAsia" w:ascii="仿宋" w:hAnsi="仿宋" w:eastAsia="仿宋" w:cs="仿宋"/>
          <w:kern w:val="2"/>
          <w:sz w:val="30"/>
          <w:szCs w:val="30"/>
          <w:lang w:val="zh-CN" w:eastAsia="zh-CN" w:bidi="ar-SA"/>
        </w:rPr>
        <w:t>。其中：因公出国（境）费</w:t>
      </w:r>
      <w:r>
        <w:rPr>
          <w:rStyle w:val="10"/>
          <w:rFonts w:hint="eastAsia" w:ascii="仿宋" w:hAnsi="仿宋" w:eastAsia="仿宋" w:cs="仿宋"/>
          <w:kern w:val="2"/>
          <w:sz w:val="30"/>
          <w:szCs w:val="30"/>
          <w:lang w:val="en-US" w:eastAsia="zh-CN" w:bidi="ar-SA"/>
        </w:rPr>
        <w:t>完成0元，比上年增减0元，增加下降0%</w:t>
      </w:r>
      <w:r>
        <w:rPr>
          <w:rStyle w:val="10"/>
          <w:rFonts w:hint="eastAsia" w:ascii="仿宋" w:hAnsi="仿宋" w:eastAsia="仿宋" w:cs="仿宋"/>
          <w:kern w:val="2"/>
          <w:sz w:val="30"/>
          <w:szCs w:val="30"/>
          <w:lang w:val="zh-CN" w:eastAsia="zh-CN" w:bidi="ar-SA"/>
        </w:rPr>
        <w:t>；公务接待费</w:t>
      </w:r>
      <w:r>
        <w:rPr>
          <w:rStyle w:val="10"/>
          <w:rFonts w:hint="eastAsia" w:ascii="仿宋" w:hAnsi="仿宋" w:eastAsia="仿宋" w:cs="仿宋"/>
          <w:kern w:val="2"/>
          <w:sz w:val="30"/>
          <w:szCs w:val="30"/>
          <w:lang w:val="en-US" w:eastAsia="zh-CN" w:bidi="ar-SA"/>
        </w:rPr>
        <w:t>完成1.57万元，比上年减少5.55万元，减少77.95%，增减变化的主要原因是：2022年度部分接待费用还未报销</w:t>
      </w:r>
      <w:r>
        <w:rPr>
          <w:rStyle w:val="10"/>
          <w:rFonts w:hint="eastAsia" w:ascii="仿宋" w:hAnsi="仿宋" w:eastAsia="仿宋" w:cs="仿宋"/>
          <w:kern w:val="2"/>
          <w:sz w:val="30"/>
          <w:szCs w:val="30"/>
          <w:lang w:val="zh-CN" w:eastAsia="zh-CN" w:bidi="ar-SA"/>
        </w:rPr>
        <w:t>；公务用车购置及运行维护费</w:t>
      </w:r>
      <w:r>
        <w:rPr>
          <w:rStyle w:val="10"/>
          <w:rFonts w:hint="eastAsia" w:ascii="仿宋" w:hAnsi="仿宋" w:eastAsia="仿宋" w:cs="仿宋"/>
          <w:kern w:val="2"/>
          <w:sz w:val="30"/>
          <w:szCs w:val="30"/>
          <w:lang w:val="en-US" w:eastAsia="zh-CN" w:bidi="ar-SA"/>
        </w:rPr>
        <w:t>完成8.4</w:t>
      </w:r>
      <w:r>
        <w:rPr>
          <w:rStyle w:val="10"/>
          <w:rFonts w:hint="default" w:ascii="仿宋" w:hAnsi="仿宋" w:eastAsia="仿宋" w:cs="仿宋"/>
          <w:kern w:val="2"/>
          <w:sz w:val="30"/>
          <w:szCs w:val="30"/>
          <w:lang w:eastAsia="zh-CN" w:bidi="ar-SA"/>
        </w:rPr>
        <w:t>3</w:t>
      </w:r>
      <w:r>
        <w:rPr>
          <w:rStyle w:val="10"/>
          <w:rFonts w:hint="eastAsia" w:ascii="仿宋" w:hAnsi="仿宋" w:eastAsia="仿宋" w:cs="仿宋"/>
          <w:kern w:val="2"/>
          <w:sz w:val="30"/>
          <w:szCs w:val="30"/>
          <w:lang w:val="en-US" w:eastAsia="zh-CN" w:bidi="ar-SA"/>
        </w:rPr>
        <w:t>万元，比上年减少8.</w:t>
      </w:r>
      <w:r>
        <w:rPr>
          <w:rStyle w:val="10"/>
          <w:rFonts w:hint="default" w:ascii="仿宋" w:hAnsi="仿宋" w:eastAsia="仿宋" w:cs="仿宋"/>
          <w:kern w:val="2"/>
          <w:sz w:val="30"/>
          <w:szCs w:val="30"/>
          <w:lang w:eastAsia="zh-CN" w:bidi="ar-SA"/>
        </w:rPr>
        <w:t>29</w:t>
      </w:r>
      <w:r>
        <w:rPr>
          <w:rStyle w:val="10"/>
          <w:rFonts w:hint="eastAsia" w:ascii="仿宋" w:hAnsi="仿宋" w:eastAsia="仿宋" w:cs="仿宋"/>
          <w:kern w:val="2"/>
          <w:sz w:val="30"/>
          <w:szCs w:val="30"/>
          <w:lang w:val="en-US" w:eastAsia="zh-CN" w:bidi="ar-SA"/>
        </w:rPr>
        <w:t>万元，减少49.</w:t>
      </w:r>
      <w:r>
        <w:rPr>
          <w:rStyle w:val="10"/>
          <w:rFonts w:hint="default" w:ascii="仿宋" w:hAnsi="仿宋" w:eastAsia="仿宋" w:cs="仿宋"/>
          <w:kern w:val="2"/>
          <w:sz w:val="30"/>
          <w:szCs w:val="30"/>
          <w:lang w:eastAsia="zh-CN" w:bidi="ar-SA"/>
        </w:rPr>
        <w:t>58</w:t>
      </w:r>
      <w:r>
        <w:rPr>
          <w:rStyle w:val="10"/>
          <w:rFonts w:hint="eastAsia" w:ascii="仿宋" w:hAnsi="仿宋" w:eastAsia="仿宋" w:cs="仿宋"/>
          <w:kern w:val="2"/>
          <w:sz w:val="30"/>
          <w:szCs w:val="30"/>
          <w:lang w:val="en-US" w:eastAsia="zh-CN" w:bidi="ar-SA"/>
        </w:rPr>
        <w:t>%，增减变化的主要原因是：认真贯彻落实中央“八项规定”精神和厉行节约要求，进一步从严控制“三公”经费开支，全年实际支出比预算有所节约。</w:t>
      </w:r>
    </w:p>
    <w:p>
      <w:pPr>
        <w:autoSpaceDE w:val="0"/>
        <w:autoSpaceDN w:val="0"/>
        <w:adjustRightInd w:val="0"/>
        <w:spacing w:line="520" w:lineRule="exact"/>
        <w:ind w:firstLine="723" w:firstLineChars="200"/>
        <w:rPr>
          <w:rFonts w:ascii="楷体_GB2312" w:eastAsia="楷体_GB2312" w:cs="楷体_GB2312"/>
          <w:b/>
          <w:bCs/>
          <w:sz w:val="36"/>
          <w:szCs w:val="36"/>
        </w:rPr>
      </w:pPr>
      <w:r>
        <w:rPr>
          <w:rFonts w:hint="eastAsia" w:ascii="楷体_GB2312" w:eastAsia="楷体_GB2312" w:cs="楷体_GB2312"/>
          <w:b/>
          <w:bCs/>
          <w:sz w:val="36"/>
          <w:szCs w:val="36"/>
        </w:rPr>
        <w:t>二、部门整体评价工作开展</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（一）绩效评价实施过程情况</w:t>
      </w:r>
    </w:p>
    <w:p>
      <w:pPr>
        <w:pStyle w:val="4"/>
        <w:shd w:val="clear" w:color="auto" w:fill="FFFFFF"/>
        <w:spacing w:before="0" w:beforeAutospacing="0" w:after="0" w:afterAutospacing="0" w:line="450" w:lineRule="atLeast"/>
        <w:ind w:firstLine="600" w:firstLineChars="200"/>
        <w:rPr>
          <w:rStyle w:val="10"/>
          <w:rFonts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1.前期准备。我镇制定了部门整体支出绩效评价的工作方案、评价指标，明确了绩效目标。</w:t>
      </w:r>
    </w:p>
    <w:p>
      <w:pPr>
        <w:pStyle w:val="4"/>
        <w:shd w:val="clear" w:color="auto" w:fill="FFFFFF"/>
        <w:spacing w:before="0" w:beforeAutospacing="0" w:after="0" w:afterAutospacing="0" w:line="450" w:lineRule="atLeast"/>
        <w:rPr>
          <w:rStyle w:val="10"/>
          <w:rFonts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　　2.组织实施，结合绩效目标，按确定的评价指标体系、评分标准、评价方法和相关的工作程序和步骤，通过核实数据、查阅资料、发放调查问卷、归纳汇总等步骤在规定的时间节点内开展绩效自评工作。</w:t>
      </w:r>
    </w:p>
    <w:p>
      <w:pPr>
        <w:ind w:firstLine="600" w:firstLineChars="200"/>
        <w:rPr>
          <w:rStyle w:val="10"/>
          <w:rFonts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3.分析评价，撰写报告。</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（二）绩效评价整体结果</w:t>
      </w:r>
    </w:p>
    <w:p>
      <w:pPr>
        <w:ind w:firstLine="600" w:firstLineChars="20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单位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pPr>
        <w:autoSpaceDE w:val="0"/>
        <w:autoSpaceDN w:val="0"/>
        <w:adjustRightInd w:val="0"/>
        <w:spacing w:line="520" w:lineRule="exact"/>
        <w:ind w:firstLine="723" w:firstLineChars="200"/>
        <w:rPr>
          <w:rFonts w:hint="eastAsia" w:ascii="楷体_GB2312" w:eastAsia="楷体_GB2312" w:cs="楷体_GB2312"/>
          <w:b/>
          <w:bCs/>
          <w:sz w:val="36"/>
          <w:szCs w:val="36"/>
        </w:rPr>
      </w:pPr>
      <w:r>
        <w:rPr>
          <w:rFonts w:hint="eastAsia" w:ascii="楷体_GB2312" w:eastAsia="楷体_GB2312" w:cs="楷体_GB2312"/>
          <w:b/>
          <w:bCs/>
          <w:sz w:val="36"/>
          <w:szCs w:val="36"/>
          <w:lang w:eastAsia="zh-CN"/>
        </w:rPr>
        <w:t>三、资产管理</w:t>
      </w:r>
      <w:r>
        <w:rPr>
          <w:rFonts w:hint="eastAsia" w:ascii="楷体_GB2312" w:eastAsia="楷体_GB2312" w:cs="楷体_GB2312"/>
          <w:b/>
          <w:bCs/>
          <w:sz w:val="36"/>
          <w:szCs w:val="36"/>
        </w:rPr>
        <w:t>情况</w:t>
      </w:r>
    </w:p>
    <w:p>
      <w:pPr>
        <w:widowControl/>
        <w:ind w:firstLine="600" w:firstLineChars="200"/>
        <w:rPr>
          <w:rFonts w:hint="eastAsia" w:ascii="仿宋" w:hAnsi="仿宋" w:eastAsia="仿宋" w:cs="仿宋"/>
          <w:i w:val="0"/>
          <w:iCs w:val="0"/>
          <w:caps w:val="0"/>
          <w:color w:val="000000"/>
          <w:spacing w:val="0"/>
          <w:sz w:val="32"/>
          <w:szCs w:val="32"/>
          <w:shd w:val="clear" w:fill="FFFFFF"/>
        </w:rPr>
      </w:pPr>
      <w:r>
        <w:rPr>
          <w:rStyle w:val="10"/>
          <w:rFonts w:hint="eastAsia" w:ascii="仿宋" w:hAnsi="仿宋" w:eastAsia="仿宋" w:cs="仿宋"/>
          <w:sz w:val="30"/>
          <w:szCs w:val="30"/>
        </w:rPr>
        <w:t>为进一步规范和加强我</w:t>
      </w:r>
      <w:r>
        <w:rPr>
          <w:rStyle w:val="10"/>
          <w:rFonts w:hint="eastAsia" w:ascii="仿宋" w:hAnsi="仿宋" w:eastAsia="仿宋" w:cs="仿宋"/>
          <w:sz w:val="30"/>
          <w:szCs w:val="30"/>
          <w:lang w:eastAsia="zh-CN"/>
        </w:rPr>
        <w:t>镇</w:t>
      </w:r>
      <w:r>
        <w:rPr>
          <w:rStyle w:val="10"/>
          <w:rFonts w:hint="eastAsia" w:ascii="仿宋" w:hAnsi="仿宋" w:eastAsia="仿宋" w:cs="仿宋"/>
          <w:sz w:val="30"/>
          <w:szCs w:val="30"/>
        </w:rPr>
        <w:t>国有资产管理，有效防控资产管理活动风险，维护资产的安全和完整，提高资产使用效益，明确了我单位内部在资产配置、使用、处置等方面的分工合作、操作程序和管理权限。制定了资产管理制度，严格按照财政部门现行资产管理的流程进行资产管理。本单位资产总额（账面净值，下同）</w:t>
      </w:r>
      <w:r>
        <w:rPr>
          <w:rStyle w:val="10"/>
          <w:rFonts w:hint="eastAsia" w:ascii="仿宋" w:hAnsi="仿宋" w:eastAsia="仿宋" w:cs="仿宋"/>
          <w:sz w:val="30"/>
          <w:szCs w:val="30"/>
          <w:lang w:val="en-US" w:eastAsia="zh-CN"/>
        </w:rPr>
        <w:t>748.45</w:t>
      </w:r>
      <w:r>
        <w:rPr>
          <w:rStyle w:val="10"/>
          <w:rFonts w:hint="eastAsia" w:ascii="仿宋" w:hAnsi="仿宋" w:eastAsia="仿宋" w:cs="仿宋"/>
          <w:sz w:val="30"/>
          <w:szCs w:val="30"/>
        </w:rPr>
        <w:t>万元，较上年</w:t>
      </w:r>
      <w:r>
        <w:rPr>
          <w:rStyle w:val="10"/>
          <w:rFonts w:hint="eastAsia" w:ascii="仿宋" w:hAnsi="仿宋" w:eastAsia="仿宋" w:cs="仿宋"/>
          <w:sz w:val="30"/>
          <w:szCs w:val="30"/>
          <w:lang w:eastAsia="zh-CN"/>
        </w:rPr>
        <w:t>减少</w:t>
      </w:r>
      <w:r>
        <w:rPr>
          <w:rStyle w:val="10"/>
          <w:rFonts w:hint="eastAsia" w:ascii="仿宋" w:hAnsi="仿宋" w:eastAsia="仿宋" w:cs="仿宋"/>
          <w:sz w:val="30"/>
          <w:szCs w:val="30"/>
          <w:lang w:val="en-US" w:eastAsia="zh-CN"/>
        </w:rPr>
        <w:t>22.22</w:t>
      </w:r>
      <w:r>
        <w:rPr>
          <w:rStyle w:val="10"/>
          <w:rFonts w:hint="eastAsia" w:ascii="仿宋" w:hAnsi="仿宋" w:eastAsia="仿宋" w:cs="仿宋"/>
          <w:sz w:val="30"/>
          <w:szCs w:val="30"/>
        </w:rPr>
        <w:t>%，</w:t>
      </w:r>
      <w:r>
        <w:rPr>
          <w:rStyle w:val="10"/>
          <w:rFonts w:hint="eastAsia" w:ascii="仿宋" w:hAnsi="仿宋" w:eastAsia="仿宋" w:cs="仿宋"/>
          <w:sz w:val="30"/>
          <w:szCs w:val="30"/>
          <w:lang w:eastAsia="zh-CN"/>
        </w:rPr>
        <w:t>其中固定资产</w:t>
      </w:r>
      <w:r>
        <w:rPr>
          <w:rStyle w:val="10"/>
          <w:rFonts w:hint="eastAsia" w:ascii="仿宋" w:hAnsi="仿宋" w:eastAsia="仿宋" w:cs="仿宋"/>
          <w:sz w:val="30"/>
          <w:szCs w:val="30"/>
          <w:lang w:val="en-US" w:eastAsia="zh-CN"/>
        </w:rPr>
        <w:t>299.27万元。</w:t>
      </w:r>
      <w:r>
        <w:rPr>
          <w:rStyle w:val="10"/>
          <w:rFonts w:hint="eastAsia" w:ascii="仿宋" w:hAnsi="仿宋" w:eastAsia="仿宋" w:cs="仿宋"/>
          <w:sz w:val="30"/>
          <w:szCs w:val="30"/>
        </w:rPr>
        <w:t>负债总额</w:t>
      </w:r>
      <w:r>
        <w:rPr>
          <w:rStyle w:val="10"/>
          <w:rFonts w:hint="eastAsia" w:ascii="仿宋" w:hAnsi="仿宋" w:eastAsia="仿宋" w:cs="仿宋"/>
          <w:sz w:val="30"/>
          <w:szCs w:val="30"/>
          <w:lang w:val="en-US" w:eastAsia="zh-CN"/>
        </w:rPr>
        <w:t>245.53</w:t>
      </w:r>
      <w:r>
        <w:rPr>
          <w:rStyle w:val="10"/>
          <w:rFonts w:hint="eastAsia" w:ascii="仿宋" w:hAnsi="仿宋" w:eastAsia="仿宋" w:cs="仿宋"/>
          <w:sz w:val="30"/>
          <w:szCs w:val="30"/>
        </w:rPr>
        <w:t>万元,较上</w:t>
      </w:r>
      <w:r>
        <w:rPr>
          <w:rStyle w:val="10"/>
          <w:rFonts w:hint="eastAsia" w:ascii="仿宋" w:hAnsi="仿宋" w:eastAsia="仿宋" w:cs="仿宋"/>
          <w:sz w:val="30"/>
          <w:szCs w:val="30"/>
          <w:lang w:eastAsia="zh-CN"/>
        </w:rPr>
        <w:t>年不变</w:t>
      </w:r>
      <w:r>
        <w:rPr>
          <w:rStyle w:val="10"/>
          <w:rFonts w:hint="eastAsia" w:ascii="仿宋" w:hAnsi="仿宋" w:eastAsia="仿宋" w:cs="仿宋"/>
          <w:sz w:val="30"/>
          <w:szCs w:val="30"/>
        </w:rPr>
        <w:t>。净资产</w:t>
      </w:r>
      <w:r>
        <w:rPr>
          <w:rStyle w:val="10"/>
          <w:rFonts w:hint="eastAsia" w:ascii="仿宋" w:hAnsi="仿宋" w:eastAsia="仿宋" w:cs="仿宋"/>
          <w:sz w:val="30"/>
          <w:szCs w:val="30"/>
          <w:lang w:val="en-US" w:eastAsia="zh-CN"/>
        </w:rPr>
        <w:t>502.92</w:t>
      </w:r>
      <w:r>
        <w:rPr>
          <w:rStyle w:val="10"/>
          <w:rFonts w:hint="eastAsia" w:ascii="仿宋" w:hAnsi="仿宋" w:eastAsia="仿宋" w:cs="仿宋"/>
          <w:sz w:val="30"/>
          <w:szCs w:val="30"/>
        </w:rPr>
        <w:t>万元,较上年</w:t>
      </w:r>
      <w:r>
        <w:rPr>
          <w:rStyle w:val="10"/>
          <w:rFonts w:hint="eastAsia" w:ascii="仿宋" w:hAnsi="仿宋" w:eastAsia="仿宋" w:cs="仿宋"/>
          <w:sz w:val="30"/>
          <w:szCs w:val="30"/>
          <w:lang w:eastAsia="zh-CN"/>
        </w:rPr>
        <w:t>减少</w:t>
      </w:r>
      <w:r>
        <w:rPr>
          <w:rStyle w:val="10"/>
          <w:rFonts w:hint="eastAsia" w:ascii="仿宋" w:hAnsi="仿宋" w:eastAsia="仿宋" w:cs="仿宋"/>
          <w:sz w:val="30"/>
          <w:szCs w:val="30"/>
        </w:rPr>
        <w:t xml:space="preserve"> </w:t>
      </w:r>
      <w:r>
        <w:rPr>
          <w:rStyle w:val="10"/>
          <w:rFonts w:hint="eastAsia" w:ascii="仿宋" w:hAnsi="仿宋" w:eastAsia="仿宋" w:cs="仿宋"/>
          <w:sz w:val="30"/>
          <w:szCs w:val="30"/>
          <w:lang w:val="en-US" w:eastAsia="zh-CN"/>
        </w:rPr>
        <w:t>29.83</w:t>
      </w:r>
      <w:r>
        <w:rPr>
          <w:rStyle w:val="10"/>
          <w:rFonts w:hint="eastAsia" w:ascii="仿宋" w:hAnsi="仿宋" w:eastAsia="仿宋" w:cs="仿宋"/>
          <w:sz w:val="30"/>
          <w:szCs w:val="30"/>
        </w:rPr>
        <w:t>%。</w:t>
      </w:r>
      <w:r>
        <w:rPr>
          <w:rFonts w:ascii="仿宋" w:hAnsi="仿宋" w:eastAsia="仿宋" w:cs="仿宋"/>
          <w:i w:val="0"/>
          <w:iCs w:val="0"/>
          <w:caps w:val="0"/>
          <w:color w:val="000000"/>
          <w:spacing w:val="0"/>
          <w:sz w:val="32"/>
          <w:szCs w:val="32"/>
          <w:shd w:val="clear" w:fill="FFFFFF"/>
        </w:rPr>
        <w:t>变动较大的原因是</w:t>
      </w:r>
      <w:r>
        <w:rPr>
          <w:rFonts w:hint="eastAsia" w:ascii="仿宋" w:hAnsi="仿宋" w:eastAsia="仿宋" w:cs="仿宋"/>
          <w:i w:val="0"/>
          <w:iCs w:val="0"/>
          <w:caps w:val="0"/>
          <w:color w:val="000000"/>
          <w:spacing w:val="0"/>
          <w:sz w:val="32"/>
          <w:szCs w:val="32"/>
          <w:shd w:val="clear" w:fill="FFFFFF"/>
        </w:rPr>
        <w:t>当年下达未使用结余指标不再补做收入，财政应返还额度为0，资产减少。</w:t>
      </w:r>
    </w:p>
    <w:p>
      <w:pPr>
        <w:autoSpaceDE w:val="0"/>
        <w:autoSpaceDN w:val="0"/>
        <w:adjustRightInd w:val="0"/>
        <w:spacing w:line="520" w:lineRule="exact"/>
        <w:ind w:firstLine="723" w:firstLineChars="200"/>
        <w:rPr>
          <w:rFonts w:hint="eastAsia" w:ascii="楷体_GB2312" w:eastAsia="楷体_GB2312" w:cs="楷体_GB2312"/>
          <w:b/>
          <w:bCs/>
          <w:sz w:val="36"/>
          <w:szCs w:val="36"/>
          <w:lang w:eastAsia="zh-CN"/>
        </w:rPr>
      </w:pPr>
      <w:r>
        <w:rPr>
          <w:rFonts w:hint="eastAsia" w:ascii="楷体_GB2312" w:eastAsia="楷体_GB2312" w:cs="楷体_GB2312"/>
          <w:b/>
          <w:bCs/>
          <w:sz w:val="36"/>
          <w:szCs w:val="36"/>
          <w:lang w:eastAsia="zh-CN"/>
        </w:rPr>
        <w:t>四</w:t>
      </w:r>
      <w:r>
        <w:rPr>
          <w:rFonts w:hint="eastAsia" w:ascii="楷体_GB2312" w:eastAsia="楷体_GB2312" w:cs="楷体_GB2312"/>
          <w:b/>
          <w:bCs/>
          <w:sz w:val="36"/>
          <w:szCs w:val="36"/>
        </w:rPr>
        <w:t>、部门整体支出绩效</w:t>
      </w:r>
      <w:r>
        <w:rPr>
          <w:rFonts w:hint="eastAsia" w:ascii="楷体_GB2312" w:eastAsia="楷体_GB2312" w:cs="楷体_GB2312"/>
          <w:b/>
          <w:bCs/>
          <w:sz w:val="36"/>
          <w:szCs w:val="36"/>
          <w:lang w:eastAsia="zh-CN"/>
        </w:rPr>
        <w:t>情况</w:t>
      </w:r>
    </w:p>
    <w:p>
      <w:pPr>
        <w:ind w:firstLine="600" w:firstLineChars="20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（一）投入情况分析，</w:t>
      </w:r>
    </w:p>
    <w:p>
      <w:pPr>
        <w:ind w:firstLine="600" w:firstLineChars="200"/>
        <w:rPr>
          <w:rStyle w:val="10"/>
          <w:rFonts w:hint="default"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按时完成2022年预算编制及公开，预算收入</w:t>
      </w:r>
      <w:bookmarkStart w:id="0" w:name="_GoBack"/>
      <w:r>
        <w:rPr>
          <w:rStyle w:val="10"/>
          <w:rFonts w:hint="eastAsia" w:ascii="仿宋" w:hAnsi="仿宋" w:eastAsia="仿宋" w:cs="仿宋"/>
          <w:kern w:val="2"/>
          <w:sz w:val="30"/>
          <w:szCs w:val="30"/>
          <w:lang w:val="en-US" w:eastAsia="zh-CN" w:bidi="ar-SA"/>
        </w:rPr>
        <w:t>1254.8</w:t>
      </w:r>
      <w:r>
        <w:rPr>
          <w:rStyle w:val="10"/>
          <w:rFonts w:hint="default" w:ascii="仿宋" w:hAnsi="仿宋" w:eastAsia="仿宋" w:cs="仿宋"/>
          <w:kern w:val="2"/>
          <w:sz w:val="30"/>
          <w:szCs w:val="30"/>
          <w:lang w:eastAsia="zh-CN" w:bidi="ar-SA"/>
        </w:rPr>
        <w:t>5</w:t>
      </w:r>
      <w:bookmarkEnd w:id="0"/>
      <w:r>
        <w:rPr>
          <w:rStyle w:val="10"/>
          <w:rFonts w:hint="eastAsia" w:ascii="仿宋" w:hAnsi="仿宋" w:eastAsia="仿宋" w:cs="仿宋"/>
          <w:kern w:val="2"/>
          <w:sz w:val="30"/>
          <w:szCs w:val="30"/>
          <w:lang w:val="en-US" w:eastAsia="zh-CN" w:bidi="ar-SA"/>
        </w:rPr>
        <w:t>万元，较上年减少784.</w:t>
      </w:r>
      <w:r>
        <w:rPr>
          <w:rStyle w:val="10"/>
          <w:rFonts w:hint="default" w:ascii="仿宋" w:hAnsi="仿宋" w:eastAsia="仿宋" w:cs="仿宋"/>
          <w:kern w:val="2"/>
          <w:sz w:val="30"/>
          <w:szCs w:val="30"/>
          <w:lang w:eastAsia="zh-CN" w:bidi="ar-SA"/>
        </w:rPr>
        <w:t>39</w:t>
      </w:r>
      <w:r>
        <w:rPr>
          <w:rStyle w:val="10"/>
          <w:rFonts w:hint="eastAsia" w:ascii="仿宋" w:hAnsi="仿宋" w:eastAsia="仿宋" w:cs="仿宋"/>
          <w:kern w:val="2"/>
          <w:sz w:val="30"/>
          <w:szCs w:val="30"/>
          <w:lang w:val="en-US" w:eastAsia="zh-CN" w:bidi="ar-SA"/>
        </w:rPr>
        <w:t>万元，预算支出1495.7</w:t>
      </w:r>
      <w:r>
        <w:rPr>
          <w:rStyle w:val="10"/>
          <w:rFonts w:hint="default" w:ascii="仿宋" w:hAnsi="仿宋" w:eastAsia="仿宋" w:cs="仿宋"/>
          <w:kern w:val="2"/>
          <w:sz w:val="30"/>
          <w:szCs w:val="30"/>
          <w:lang w:eastAsia="zh-CN" w:bidi="ar-SA"/>
        </w:rPr>
        <w:t>5</w:t>
      </w:r>
      <w:r>
        <w:rPr>
          <w:rStyle w:val="10"/>
          <w:rFonts w:hint="eastAsia" w:ascii="仿宋" w:hAnsi="仿宋" w:eastAsia="仿宋" w:cs="仿宋"/>
          <w:kern w:val="2"/>
          <w:sz w:val="30"/>
          <w:szCs w:val="30"/>
          <w:lang w:val="en-US" w:eastAsia="zh-CN" w:bidi="ar-SA"/>
        </w:rPr>
        <w:t>万元。全年目标有1：贯彻执行规划建设，基础设施建设，稳定和完善农村基本经营管理全面实施下政府各项决策部署，确保各项工作目标任务圆满完成。2 ：计划完成公务车辆运行费支出预算金额的100%。3：计划完成公务接待支出预算金额的100% 。4：计划完成基本支出预算金额的100%。所有目标均根据往年部门整体绩效及政府日常工作设立。</w:t>
      </w:r>
    </w:p>
    <w:p>
      <w:pPr>
        <w:ind w:firstLine="600" w:firstLineChars="20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（二）执行管理情况分析</w:t>
      </w:r>
    </w:p>
    <w:p>
      <w:pPr>
        <w:ind w:firstLine="600" w:firstLineChars="20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2022年决算支出为1495.7</w:t>
      </w:r>
      <w:r>
        <w:rPr>
          <w:rStyle w:val="10"/>
          <w:rFonts w:hint="default" w:ascii="仿宋" w:hAnsi="仿宋" w:eastAsia="仿宋" w:cs="仿宋"/>
          <w:kern w:val="2"/>
          <w:sz w:val="30"/>
          <w:szCs w:val="30"/>
          <w:lang w:eastAsia="zh-CN" w:bidi="ar-SA"/>
        </w:rPr>
        <w:t>5</w:t>
      </w:r>
      <w:r>
        <w:rPr>
          <w:rStyle w:val="10"/>
          <w:rFonts w:hint="eastAsia" w:ascii="仿宋" w:hAnsi="仿宋" w:eastAsia="仿宋" w:cs="仿宋"/>
          <w:kern w:val="2"/>
          <w:sz w:val="30"/>
          <w:szCs w:val="30"/>
          <w:lang w:val="en-US" w:eastAsia="zh-CN" w:bidi="ar-SA"/>
        </w:rPr>
        <w:t>万元，执行率为100%。2022年决算数较2021年有所下降，主要原因是实行零余额报账制度，一收一支，本年财政拨款收入减少相应支出减少。</w:t>
      </w:r>
    </w:p>
    <w:p>
      <w:pPr>
        <w:ind w:firstLine="600" w:firstLineChars="20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（三）支出绩效情况分析</w:t>
      </w:r>
    </w:p>
    <w:p>
      <w:pPr>
        <w:ind w:firstLine="600" w:firstLineChars="20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2022年决算支出为1495.7</w:t>
      </w:r>
      <w:r>
        <w:rPr>
          <w:rStyle w:val="10"/>
          <w:rFonts w:hint="default" w:ascii="仿宋" w:hAnsi="仿宋" w:eastAsia="仿宋" w:cs="仿宋"/>
          <w:kern w:val="2"/>
          <w:sz w:val="30"/>
          <w:szCs w:val="30"/>
          <w:lang w:eastAsia="zh-CN" w:bidi="ar-SA"/>
        </w:rPr>
        <w:t>5</w:t>
      </w:r>
      <w:r>
        <w:rPr>
          <w:rStyle w:val="10"/>
          <w:rFonts w:hint="eastAsia" w:ascii="仿宋" w:hAnsi="仿宋" w:eastAsia="仿宋" w:cs="仿宋"/>
          <w:kern w:val="2"/>
          <w:sz w:val="30"/>
          <w:szCs w:val="30"/>
          <w:lang w:val="en-US" w:eastAsia="zh-CN" w:bidi="ar-SA"/>
        </w:rPr>
        <w:t>万元，其中基本支出为1467.14万元，项目支出28.6万元，贯彻执行规划建设，基础设施建设，稳定和完善农村基本经营管理全面实施下政府各项决策部署，确保各项工作目标任务圆满完成。</w:t>
      </w:r>
    </w:p>
    <w:p>
      <w:pPr>
        <w:autoSpaceDE w:val="0"/>
        <w:autoSpaceDN w:val="0"/>
        <w:adjustRightInd w:val="0"/>
        <w:spacing w:line="520" w:lineRule="exact"/>
        <w:ind w:firstLine="723" w:firstLineChars="200"/>
        <w:rPr>
          <w:rFonts w:ascii="楷体_GB2312" w:eastAsia="楷体_GB2312" w:cs="楷体_GB2312"/>
          <w:b/>
          <w:bCs/>
          <w:sz w:val="36"/>
          <w:szCs w:val="36"/>
        </w:rPr>
      </w:pPr>
      <w:r>
        <w:rPr>
          <w:rFonts w:hint="eastAsia" w:ascii="楷体_GB2312" w:eastAsia="楷体_GB2312" w:cs="楷体_GB2312"/>
          <w:b/>
          <w:bCs/>
          <w:sz w:val="36"/>
          <w:szCs w:val="36"/>
          <w:lang w:eastAsia="zh-CN"/>
        </w:rPr>
        <w:t>五</w:t>
      </w:r>
      <w:r>
        <w:rPr>
          <w:rFonts w:hint="eastAsia" w:ascii="楷体_GB2312" w:eastAsia="楷体_GB2312" w:cs="楷体_GB2312"/>
          <w:b/>
          <w:bCs/>
          <w:sz w:val="36"/>
          <w:szCs w:val="36"/>
        </w:rPr>
        <w:t>、存在的</w:t>
      </w:r>
      <w:r>
        <w:rPr>
          <w:rFonts w:hint="eastAsia" w:ascii="楷体_GB2312" w:eastAsia="楷体_GB2312" w:cs="楷体_GB2312"/>
          <w:b/>
          <w:bCs/>
          <w:sz w:val="36"/>
          <w:szCs w:val="36"/>
          <w:lang w:eastAsia="zh-CN"/>
        </w:rPr>
        <w:t>主要</w:t>
      </w:r>
      <w:r>
        <w:rPr>
          <w:rFonts w:hint="eastAsia" w:ascii="楷体_GB2312" w:eastAsia="楷体_GB2312" w:cs="楷体_GB2312"/>
          <w:b/>
          <w:bCs/>
          <w:sz w:val="36"/>
          <w:szCs w:val="36"/>
        </w:rPr>
        <w:t>问题</w:t>
      </w:r>
    </w:p>
    <w:p>
      <w:pPr>
        <w:ind w:firstLine="600" w:firstLineChars="20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存在的问题：1.预算编制工作有待细化。预算编制不够明确和细化，预算编制的合理性需要提高，预算执行力度还要进一步加强；2.公用经费控制有一定难度，基本为刚性支出。</w:t>
      </w:r>
    </w:p>
    <w:p>
      <w:pPr>
        <w:numPr>
          <w:ilvl w:val="0"/>
          <w:numId w:val="0"/>
        </w:numPr>
        <w:autoSpaceDE w:val="0"/>
        <w:autoSpaceDN w:val="0"/>
        <w:adjustRightInd w:val="0"/>
        <w:spacing w:line="520" w:lineRule="exact"/>
        <w:ind w:firstLine="723" w:firstLineChars="200"/>
        <w:rPr>
          <w:rFonts w:ascii="楷体_GB2312" w:eastAsia="楷体_GB2312" w:cs="楷体_GB2312"/>
          <w:b/>
          <w:bCs/>
          <w:sz w:val="36"/>
          <w:szCs w:val="36"/>
        </w:rPr>
      </w:pPr>
      <w:r>
        <w:rPr>
          <w:rFonts w:hint="eastAsia" w:ascii="楷体_GB2312" w:eastAsia="楷体_GB2312" w:cs="楷体_GB2312"/>
          <w:b/>
          <w:bCs/>
          <w:sz w:val="36"/>
          <w:szCs w:val="36"/>
          <w:lang w:eastAsia="zh-CN"/>
        </w:rPr>
        <w:t>六、</w:t>
      </w:r>
      <w:r>
        <w:rPr>
          <w:rFonts w:hint="eastAsia" w:ascii="楷体_GB2312" w:eastAsia="楷体_GB2312" w:cs="楷体_GB2312"/>
          <w:b/>
          <w:bCs/>
          <w:sz w:val="36"/>
          <w:szCs w:val="36"/>
        </w:rPr>
        <w:t>整改措施和建议</w:t>
      </w:r>
    </w:p>
    <w:p>
      <w:pPr>
        <w:ind w:firstLine="600" w:firstLineChars="200"/>
        <w:rPr>
          <w:rStyle w:val="10"/>
          <w:rFonts w:hint="eastAsia"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ind w:firstLine="600" w:firstLineChars="200"/>
        <w:rPr>
          <w:rStyle w:val="10"/>
          <w:rFonts w:hint="default" w:ascii="仿宋" w:hAnsi="仿宋" w:eastAsia="仿宋" w:cs="仿宋"/>
          <w:kern w:val="2"/>
          <w:sz w:val="30"/>
          <w:szCs w:val="30"/>
          <w:lang w:val="en-US" w:eastAsia="zh-CN" w:bidi="ar-SA"/>
        </w:rPr>
      </w:pPr>
      <w:r>
        <w:rPr>
          <w:rStyle w:val="10"/>
          <w:rFonts w:hint="eastAsia" w:ascii="仿宋" w:hAnsi="仿宋" w:eastAsia="仿宋" w:cs="仿宋"/>
          <w:kern w:val="2"/>
          <w:sz w:val="30"/>
          <w:szCs w:val="30"/>
          <w:lang w:val="en-US" w:eastAsia="zh-CN" w:bidi="ar-SA"/>
        </w:rPr>
        <w:t>2. 加强财务管理，严格财务审核。加强单位财务管理，健全单位财务管理制度体系，规范单位财务行为。在费用报账支付时，按照预算规定的费用项目和用途进行资金使用审核、列报支付、财务核算，杜绝超支现象的发生。</w:t>
      </w:r>
    </w:p>
    <w:p>
      <w:pPr>
        <w:spacing w:line="560" w:lineRule="exact"/>
        <w:rPr>
          <w:rFonts w:hint="eastAsia" w:ascii="黑体" w:hAnsi="宋体" w:eastAsia="黑体" w:cs="宋体"/>
          <w:kern w:val="0"/>
          <w:sz w:val="32"/>
          <w:szCs w:val="32"/>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1</w:t>
      </w:r>
    </w:p>
    <w:p>
      <w:pPr>
        <w:spacing w:line="560" w:lineRule="exact"/>
        <w:jc w:val="center"/>
        <w:rPr>
          <w:rFonts w:ascii="宋体" w:hAnsi="宋体" w:cs="宋体"/>
          <w:kern w:val="0"/>
          <w:sz w:val="24"/>
        </w:rPr>
      </w:pPr>
      <w:r>
        <w:rPr>
          <w:rFonts w:hint="eastAsia" w:ascii="方正小标宋_GBK" w:hAnsi="宋体" w:eastAsia="方正小标宋_GBK" w:cs="宋体"/>
          <w:kern w:val="0"/>
          <w:sz w:val="36"/>
          <w:szCs w:val="36"/>
        </w:rPr>
        <w:t>部门整体支出绩效评价</w:t>
      </w:r>
      <w:r>
        <w:rPr>
          <w:rFonts w:hint="eastAsia" w:ascii="方正小标宋_GBK" w:hAnsi="宋体" w:eastAsia="方正小标宋_GBK" w:cs="宋体"/>
          <w:kern w:val="0"/>
          <w:sz w:val="36"/>
          <w:szCs w:val="36"/>
          <w:lang w:eastAsia="zh-CN"/>
        </w:rPr>
        <w:t>共性</w:t>
      </w:r>
      <w:r>
        <w:rPr>
          <w:rFonts w:hint="eastAsia" w:ascii="方正小标宋_GBK" w:hAnsi="宋体" w:eastAsia="方正小标宋_GBK" w:cs="宋体"/>
          <w:kern w:val="0"/>
          <w:sz w:val="36"/>
          <w:szCs w:val="36"/>
        </w:rPr>
        <w:t>指标表</w:t>
      </w:r>
    </w:p>
    <w:tbl>
      <w:tblPr>
        <w:tblStyle w:val="5"/>
        <w:tblW w:w="10600" w:type="dxa"/>
        <w:jc w:val="center"/>
        <w:tblLayout w:type="fixed"/>
        <w:tblCellMar>
          <w:top w:w="0" w:type="dxa"/>
          <w:left w:w="108" w:type="dxa"/>
          <w:bottom w:w="0" w:type="dxa"/>
          <w:right w:w="108" w:type="dxa"/>
        </w:tblCellMar>
      </w:tblPr>
      <w:tblGrid>
        <w:gridCol w:w="518"/>
        <w:gridCol w:w="470"/>
        <w:gridCol w:w="623"/>
        <w:gridCol w:w="416"/>
        <w:gridCol w:w="1015"/>
        <w:gridCol w:w="416"/>
        <w:gridCol w:w="3016"/>
        <w:gridCol w:w="3489"/>
        <w:gridCol w:w="637"/>
      </w:tblGrid>
      <w:tr>
        <w:tblPrEx>
          <w:tblCellMar>
            <w:top w:w="0" w:type="dxa"/>
            <w:left w:w="108" w:type="dxa"/>
            <w:bottom w:w="0" w:type="dxa"/>
            <w:right w:w="108" w:type="dxa"/>
          </w:tblCellMar>
        </w:tblPrEx>
        <w:trPr>
          <w:tblHeader/>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一级指标</w:t>
            </w:r>
          </w:p>
        </w:tc>
        <w:tc>
          <w:tcPr>
            <w:tcW w:w="47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6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10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三级</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分值</w:t>
            </w:r>
          </w:p>
        </w:tc>
        <w:tc>
          <w:tcPr>
            <w:tcW w:w="301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评价标准</w:t>
            </w:r>
          </w:p>
        </w:tc>
        <w:tc>
          <w:tcPr>
            <w:tcW w:w="348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指标说明</w:t>
            </w:r>
          </w:p>
        </w:tc>
        <w:tc>
          <w:tcPr>
            <w:tcW w:w="63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得分</w:t>
            </w:r>
          </w:p>
        </w:tc>
      </w:tr>
      <w:tr>
        <w:tblPrEx>
          <w:tblCellMar>
            <w:top w:w="0" w:type="dxa"/>
            <w:left w:w="108" w:type="dxa"/>
            <w:bottom w:w="0" w:type="dxa"/>
            <w:right w:w="108" w:type="dxa"/>
          </w:tblCellMar>
        </w:tblPrEx>
        <w:trPr>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投入</w:t>
            </w:r>
          </w:p>
        </w:tc>
        <w:tc>
          <w:tcPr>
            <w:tcW w:w="47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1</w:t>
            </w:r>
            <w:r>
              <w:rPr>
                <w:rFonts w:hint="eastAsia" w:ascii="仿宋_GB2312" w:hAnsi="宋体" w:eastAsia="仿宋_GB2312" w:cs="宋体"/>
                <w:kern w:val="0"/>
                <w:sz w:val="20"/>
                <w:szCs w:val="20"/>
                <w:lang w:val="en-US" w:eastAsia="zh-CN"/>
              </w:rPr>
              <w:t>0</w:t>
            </w:r>
          </w:p>
        </w:tc>
        <w:tc>
          <w:tcPr>
            <w:tcW w:w="623" w:type="dxa"/>
            <w:vMerge w:val="restar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1</w:t>
            </w:r>
            <w:r>
              <w:rPr>
                <w:rFonts w:hint="eastAsia" w:ascii="仿宋_GB2312" w:hAnsi="宋体" w:eastAsia="仿宋_GB2312" w:cs="宋体"/>
                <w:kern w:val="0"/>
                <w:sz w:val="20"/>
                <w:szCs w:val="20"/>
                <w:lang w:val="en-US" w:eastAsia="zh-CN"/>
              </w:rPr>
              <w:t>0</w:t>
            </w: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在职人员控制率</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nil"/>
              <w:right w:val="nil"/>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宋体" w:hAnsi="宋体" w:cs="宋体"/>
                <w:kern w:val="0"/>
                <w:sz w:val="20"/>
                <w:szCs w:val="20"/>
              </w:rPr>
              <w:t>≦</w:t>
            </w:r>
            <w:r>
              <w:rPr>
                <w:rFonts w:hint="eastAsia" w:ascii="仿宋_GB2312" w:hAnsi="宋体" w:eastAsia="仿宋_GB2312" w:cs="宋体"/>
                <w:kern w:val="0"/>
                <w:sz w:val="20"/>
                <w:szCs w:val="20"/>
              </w:rPr>
              <w:t>100%，计5分；每超过一个百分点扣0.5分，扣完为止。</w:t>
            </w:r>
          </w:p>
        </w:tc>
        <w:tc>
          <w:tcPr>
            <w:tcW w:w="3489"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在职人员控制率=（在职人员数/编制数）×100%，在职人员数：部门（单位）实际在职人数，以财政确定的部门决算编制口径为准。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p>
        </w:tc>
        <w:tc>
          <w:tcPr>
            <w:tcW w:w="41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5</w:t>
            </w:r>
          </w:p>
        </w:tc>
        <w:tc>
          <w:tcPr>
            <w:tcW w:w="301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宋体" w:hAnsi="宋体" w:cs="宋体"/>
                <w:kern w:val="0"/>
                <w:sz w:val="20"/>
                <w:szCs w:val="20"/>
              </w:rPr>
              <w:t>≦</w:t>
            </w:r>
            <w:r>
              <w:rPr>
                <w:rFonts w:hint="eastAsia" w:ascii="仿宋_GB2312" w:hAnsi="宋体" w:eastAsia="仿宋_GB2312" w:cs="宋体"/>
                <w:kern w:val="0"/>
                <w:sz w:val="20"/>
                <w:szCs w:val="20"/>
              </w:rPr>
              <w:t>0,计</w:t>
            </w:r>
            <w:r>
              <w:rPr>
                <w:rFonts w:hint="eastAsia" w:ascii="仿宋_GB2312" w:hAnsi="宋体" w:eastAsia="仿宋_GB2312" w:cs="宋体"/>
                <w:kern w:val="0"/>
                <w:sz w:val="20"/>
                <w:szCs w:val="20"/>
                <w:lang w:val="en-US" w:eastAsia="zh-CN"/>
              </w:rPr>
              <w:t>5</w:t>
            </w:r>
            <w:r>
              <w:rPr>
                <w:rFonts w:hint="eastAsia" w:ascii="仿宋_GB2312" w:hAnsi="宋体" w:eastAsia="仿宋_GB2312" w:cs="宋体"/>
                <w:kern w:val="0"/>
                <w:sz w:val="20"/>
                <w:szCs w:val="20"/>
              </w:rPr>
              <w:t>分；“三公经费”＞0，每超过一个百分点扣0.</w:t>
            </w:r>
            <w:r>
              <w:rPr>
                <w:rFonts w:hint="eastAsia" w:ascii="仿宋_GB2312" w:hAnsi="宋体" w:eastAsia="仿宋_GB2312" w:cs="宋体"/>
                <w:kern w:val="0"/>
                <w:sz w:val="20"/>
                <w:szCs w:val="20"/>
                <w:lang w:val="en-US" w:eastAsia="zh-CN"/>
              </w:rPr>
              <w:t>5</w:t>
            </w:r>
            <w:r>
              <w:rPr>
                <w:rFonts w:hint="eastAsia" w:ascii="仿宋_GB2312" w:hAnsi="宋体" w:eastAsia="仿宋_GB2312" w:cs="宋体"/>
                <w:kern w:val="0"/>
                <w:sz w:val="20"/>
                <w:szCs w:val="20"/>
              </w:rPr>
              <w:t>分，扣完为止。</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　</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7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6</w:t>
            </w:r>
            <w:r>
              <w:rPr>
                <w:rFonts w:hint="eastAsia" w:ascii="仿宋_GB2312" w:hAnsi="宋体" w:eastAsia="仿宋_GB2312" w:cs="宋体"/>
                <w:kern w:val="0"/>
                <w:sz w:val="20"/>
                <w:szCs w:val="20"/>
                <w:lang w:val="en-US" w:eastAsia="zh-CN"/>
              </w:rPr>
              <w:t>0</w:t>
            </w:r>
          </w:p>
        </w:tc>
        <w:tc>
          <w:tcPr>
            <w:tcW w:w="6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100%计满分，每低于5%扣2分，扣完为止。</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预算完成率=（上年结转+年初预算+本年追加预算-年末结余）/（上年结转+年初预算+本年追加预算）×100%。</w:t>
            </w:r>
          </w:p>
        </w:tc>
        <w:tc>
          <w:tcPr>
            <w:tcW w:w="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预算控制率=0，计5分；0-10%（含），计4分；10-20%（含），计3分；20-30%（含），计2分；大于30%不得分。</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预算控制率=（本年追加预算/年初预算）×100%。</w:t>
            </w:r>
          </w:p>
        </w:tc>
        <w:tc>
          <w:tcPr>
            <w:tcW w:w="6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　</w:t>
            </w:r>
          </w:p>
        </w:tc>
      </w:tr>
      <w:tr>
        <w:tblPrEx>
          <w:tblCellMar>
            <w:top w:w="0" w:type="dxa"/>
            <w:left w:w="108" w:type="dxa"/>
            <w:bottom w:w="0" w:type="dxa"/>
            <w:right w:w="108" w:type="dxa"/>
          </w:tblCellMar>
        </w:tblPrEx>
        <w:trPr>
          <w:trHeight w:val="1160"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新建楼堂馆所面积控制率</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100%以下（含）计满分，每超出5%扣2分，扣完为止。没有楼堂馆所项目的部门按满分计算。</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楼堂馆所面积控制率=实际建设面积/批准建设面积×100%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该指标以</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年完工的新建楼堂馆所为评价内容。</w:t>
            </w:r>
          </w:p>
        </w:tc>
        <w:tc>
          <w:tcPr>
            <w:tcW w:w="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新建楼堂馆所投资概算控制率</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100%以下（含）计满分，每超出5%扣2分，扣完为止。</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楼堂馆所投资预算控制率=实际投资金额/批准投资金额×100%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该指标以2</w:t>
            </w:r>
            <w:r>
              <w:rPr>
                <w:rFonts w:hint="eastAsia" w:ascii="仿宋_GB2312" w:hAnsi="宋体" w:eastAsia="仿宋_GB2312" w:cs="宋体"/>
                <w:kern w:val="0"/>
                <w:sz w:val="20"/>
                <w:szCs w:val="20"/>
                <w:lang w:val="en-US" w:eastAsia="zh-CN"/>
              </w:rPr>
              <w:t>021</w:t>
            </w:r>
            <w:r>
              <w:rPr>
                <w:rFonts w:hint="eastAsia" w:ascii="仿宋_GB2312" w:hAnsi="宋体" w:eastAsia="仿宋_GB2312" w:cs="宋体"/>
                <w:kern w:val="0"/>
                <w:sz w:val="20"/>
                <w:szCs w:val="20"/>
              </w:rPr>
              <w:t>年完工的新建楼堂馆所为评价内容。</w:t>
            </w:r>
          </w:p>
        </w:tc>
        <w:tc>
          <w:tcPr>
            <w:tcW w:w="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40</w:t>
            </w: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公用经费控制率</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100%以下（含）计满分，每超出1%扣1分，扣完为止。</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公用经费控制率=（实际支出公用经费总额/预算安排公用经费总额）×100%。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CellMar>
            <w:top w:w="0" w:type="dxa"/>
            <w:left w:w="108" w:type="dxa"/>
            <w:bottom w:w="0" w:type="dxa"/>
            <w:right w:w="108" w:type="dxa"/>
          </w:tblCellMar>
        </w:tblPrEx>
        <w:trPr>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w:t>
            </w:r>
          </w:p>
        </w:tc>
        <w:tc>
          <w:tcPr>
            <w:tcW w:w="41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7</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100%以下（含）计满分，每超出1%扣1分，扣完为止。</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　</w:t>
            </w:r>
          </w:p>
        </w:tc>
      </w:tr>
      <w:tr>
        <w:tblPrEx>
          <w:tblCellMar>
            <w:top w:w="0" w:type="dxa"/>
            <w:left w:w="108" w:type="dxa"/>
            <w:bottom w:w="0" w:type="dxa"/>
            <w:right w:w="108" w:type="dxa"/>
          </w:tblCellMar>
        </w:tblPrEx>
        <w:trPr>
          <w:trHeight w:val="918" w:hRule="atLeast"/>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100%计满分，每超过（降低）5%扣2分。扣完为止。</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政府采购执行率=（实际政府采购金额/政府采购预算数）×100%</w:t>
            </w:r>
          </w:p>
        </w:tc>
        <w:tc>
          <w:tcPr>
            <w:tcW w:w="6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　</w:t>
            </w:r>
          </w:p>
        </w:tc>
      </w:tr>
      <w:tr>
        <w:tblPrEx>
          <w:tblCellMar>
            <w:top w:w="0" w:type="dxa"/>
            <w:left w:w="108" w:type="dxa"/>
            <w:bottom w:w="0" w:type="dxa"/>
            <w:right w:w="108" w:type="dxa"/>
          </w:tblCellMar>
        </w:tblPrEx>
        <w:trPr>
          <w:jc w:val="center"/>
        </w:trPr>
        <w:tc>
          <w:tcPr>
            <w:tcW w:w="518" w:type="dxa"/>
            <w:vMerge w:val="restart"/>
            <w:tcBorders>
              <w:top w:val="single" w:color="auto" w:sz="4" w:space="0"/>
              <w:left w:val="single" w:color="auto" w:sz="4" w:space="0"/>
              <w:bottom w:val="single" w:color="000000" w:sz="4" w:space="0"/>
              <w:right w:val="single" w:color="auto" w:sz="4" w:space="0"/>
            </w:tcBorders>
            <w:noWrap w:val="0"/>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70" w:type="dxa"/>
            <w:vMerge w:val="restart"/>
            <w:tcBorders>
              <w:top w:val="single" w:color="auto" w:sz="4" w:space="0"/>
              <w:left w:val="single" w:color="auto" w:sz="4" w:space="0"/>
              <w:bottom w:val="single" w:color="000000" w:sz="4" w:space="0"/>
              <w:right w:val="single" w:color="auto" w:sz="4" w:space="0"/>
            </w:tcBorders>
            <w:noWrap w:val="0"/>
            <w:vAlign w:val="center"/>
          </w:tcPr>
          <w:p>
            <w:pPr>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6</w:t>
            </w:r>
            <w:r>
              <w:rPr>
                <w:rFonts w:hint="eastAsia" w:ascii="仿宋_GB2312" w:hAnsi="宋体" w:eastAsia="仿宋_GB2312" w:cs="宋体"/>
                <w:kern w:val="0"/>
                <w:sz w:val="20"/>
                <w:szCs w:val="20"/>
                <w:lang w:val="en-US" w:eastAsia="zh-CN"/>
              </w:rPr>
              <w:t>0</w:t>
            </w:r>
          </w:p>
        </w:tc>
        <w:tc>
          <w:tcPr>
            <w:tcW w:w="623" w:type="dxa"/>
            <w:vMerge w:val="restart"/>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管理制度健全性</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①有内部财务管理制度、会计核算制度等管理制度，2分；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②有本部门厉行节约制度,2分；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③相关管理制度合法、合规、完整，2分；④相关管理制度得到有效执行，2分。</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资金使用合规性</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以上情况每出现一例不符合要求的扣1分，扣完为止。</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产出及效率</w:t>
            </w:r>
          </w:p>
        </w:tc>
        <w:tc>
          <w:tcPr>
            <w:tcW w:w="47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30</w:t>
            </w:r>
          </w:p>
        </w:tc>
        <w:tc>
          <w:tcPr>
            <w:tcW w:w="62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015" w:type="dxa"/>
            <w:tcBorders>
              <w:top w:val="nil"/>
              <w:left w:val="nil"/>
              <w:bottom w:val="nil"/>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重点工作实际完成率</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根据绩效办20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年对各部门为民办实事和部门重点工程与重点工作考核分数折算。</w:t>
            </w:r>
            <w:r>
              <w:rPr>
                <w:rFonts w:hint="eastAsia" w:ascii="仿宋_GB2312" w:hAnsi="宋体" w:eastAsia="仿宋_GB2312" w:cs="宋体"/>
                <w:kern w:val="0"/>
                <w:sz w:val="20"/>
                <w:szCs w:val="20"/>
              </w:rPr>
              <w:br w:type="textWrapping"/>
            </w:r>
            <w:r>
              <w:rPr>
                <w:rFonts w:hint="eastAsia" w:ascii="仿宋_GB2312" w:hAnsi="宋体" w:eastAsia="仿宋_GB2312" w:cs="宋体"/>
                <w:color w:val="FF0000"/>
                <w:kern w:val="0"/>
                <w:sz w:val="20"/>
                <w:szCs w:val="20"/>
              </w:rPr>
              <w:t>该项得分=（绩效办对应部分考核得分/</w:t>
            </w:r>
            <w:r>
              <w:rPr>
                <w:rFonts w:hint="eastAsia" w:ascii="仿宋_GB2312" w:hAnsi="宋体" w:eastAsia="仿宋_GB2312" w:cs="宋体"/>
                <w:color w:val="FF0000"/>
                <w:kern w:val="0"/>
                <w:sz w:val="20"/>
                <w:szCs w:val="20"/>
                <w:lang w:eastAsia="zh-CN"/>
              </w:rPr>
              <w:t>该部分总分</w:t>
            </w:r>
            <w:r>
              <w:rPr>
                <w:rFonts w:hint="eastAsia" w:ascii="仿宋_GB2312" w:hAnsi="宋体" w:eastAsia="仿宋_GB2312" w:cs="宋体"/>
                <w:color w:val="FF0000"/>
                <w:kern w:val="0"/>
                <w:sz w:val="20"/>
                <w:szCs w:val="20"/>
              </w:rPr>
              <w:t>）*8</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　</w:t>
            </w:r>
          </w:p>
        </w:tc>
      </w:tr>
      <w:tr>
        <w:tblPrEx>
          <w:tblCellMar>
            <w:top w:w="0" w:type="dxa"/>
            <w:left w:w="108" w:type="dxa"/>
            <w:bottom w:w="0" w:type="dxa"/>
            <w:right w:w="108" w:type="dxa"/>
          </w:tblCellMar>
        </w:tblPrEx>
        <w:trPr>
          <w:trHeight w:val="757"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 效益</w:t>
            </w: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w:t>
            </w:r>
          </w:p>
        </w:tc>
        <w:tc>
          <w:tcPr>
            <w:tcW w:w="101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经济效益</w:t>
            </w:r>
          </w:p>
        </w:tc>
        <w:tc>
          <w:tcPr>
            <w:tcW w:w="416" w:type="dxa"/>
            <w:vMerge w:val="restart"/>
            <w:tcBorders>
              <w:top w:val="nil"/>
              <w:left w:val="single" w:color="auto" w:sz="4" w:space="0"/>
              <w:bottom w:val="nil"/>
              <w:right w:val="single" w:color="auto" w:sz="4" w:space="0"/>
            </w:tcBorders>
            <w:noWrap w:val="0"/>
            <w:vAlign w:val="center"/>
          </w:tcPr>
          <w:p>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10</w:t>
            </w:r>
          </w:p>
        </w:tc>
        <w:tc>
          <w:tcPr>
            <w:tcW w:w="6505" w:type="dxa"/>
            <w:gridSpan w:val="2"/>
            <w:vMerge w:val="restart"/>
            <w:tcBorders>
              <w:top w:val="single" w:color="auto" w:sz="4" w:space="0"/>
              <w:left w:val="single" w:color="auto" w:sz="4" w:space="0"/>
              <w:bottom w:val="nil"/>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80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社会效益</w:t>
            </w:r>
          </w:p>
        </w:tc>
        <w:tc>
          <w:tcPr>
            <w:tcW w:w="41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eastAsia="仿宋_GB2312" w:cs="宋体"/>
                <w:kern w:val="0"/>
                <w:sz w:val="20"/>
                <w:szCs w:val="20"/>
              </w:rPr>
            </w:pPr>
          </w:p>
        </w:tc>
        <w:tc>
          <w:tcPr>
            <w:tcW w:w="650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_GB2312" w:hAnsi="宋体" w:eastAsia="仿宋_GB2312" w:cs="宋体"/>
                <w:kern w:val="0"/>
                <w:sz w:val="20"/>
                <w:szCs w:val="2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eastAsiaTheme="minorEastAsia"/>
                <w:kern w:val="0"/>
                <w:sz w:val="24"/>
                <w:lang w:val="en-US" w:eastAsia="zh-CN"/>
              </w:rPr>
            </w:pPr>
            <w:r>
              <w:rPr>
                <w:rFonts w:hint="eastAsia" w:ascii="宋体" w:hAnsi="宋体" w:cs="宋体"/>
                <w:kern w:val="0"/>
                <w:sz w:val="24"/>
                <w:lang w:val="en-US" w:eastAsia="zh-CN"/>
              </w:rPr>
              <w:t>5</w:t>
            </w:r>
          </w:p>
        </w:tc>
      </w:tr>
      <w:tr>
        <w:tblPrEx>
          <w:tblCellMar>
            <w:top w:w="0" w:type="dxa"/>
            <w:left w:w="108" w:type="dxa"/>
            <w:bottom w:w="0" w:type="dxa"/>
            <w:right w:w="108" w:type="dxa"/>
          </w:tblCellMar>
        </w:tblPrEx>
        <w:trPr>
          <w:trHeight w:val="90"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行政效能</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01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促进部门改进文风会风，加强经费及资产管理，推动网上办事，提高行政效率，降低行政成本效果较好的计6分；一般3分；无效果或者效果不明显0分。</w:t>
            </w:r>
          </w:p>
        </w:tc>
        <w:tc>
          <w:tcPr>
            <w:tcW w:w="348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根据部门自评材料评定。</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6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101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4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30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90%（含）以上计6分；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80%（含）-90%，计4分；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70%（含）-80%，计2分；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低于70%计0分。</w:t>
            </w:r>
          </w:p>
        </w:tc>
        <w:tc>
          <w:tcPr>
            <w:tcW w:w="348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w:t>
            </w:r>
          </w:p>
        </w:tc>
        <w:tc>
          <w:tcPr>
            <w:tcW w:w="637"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bl>
    <w:p>
      <w:pPr>
        <w:spacing w:line="560" w:lineRule="exact"/>
        <w:rPr>
          <w:rFonts w:ascii="黑体" w:eastAsia="黑体"/>
          <w:sz w:val="28"/>
          <w:szCs w:val="28"/>
        </w:rPr>
      </w:pPr>
    </w:p>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spacing w:after="120" w:afterLines="50" w:line="600" w:lineRule="exact"/>
        <w:rPr>
          <w:rFonts w:ascii="Times New Roman" w:hAnsi="Times New Roman" w:eastAsia="仿宋_GB2312" w:cs="Times New Roman"/>
          <w:sz w:val="24"/>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 xml:space="preserve">2    </w:t>
      </w:r>
      <w:r>
        <w:rPr>
          <w:rFonts w:ascii="Times New Roman" w:hAnsi="Times New Roman" w:eastAsia="方正小标宋_GBK" w:cs="Times New Roman"/>
          <w:sz w:val="36"/>
          <w:szCs w:val="36"/>
        </w:rPr>
        <w:t>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411"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20</w:t>
            </w:r>
            <w:r>
              <w:rPr>
                <w:rFonts w:hint="eastAsia" w:ascii="Times New Roman" w:hAnsi="Times New Roman" w:eastAsia="仿宋_GB2312" w:cs="Times New Roman"/>
                <w:b/>
                <w:bCs/>
                <w:sz w:val="21"/>
                <w:szCs w:val="21"/>
                <w:lang w:val="en-US" w:eastAsia="zh-CN"/>
              </w:rPr>
              <w:t>22</w:t>
            </w:r>
            <w:r>
              <w:rPr>
                <w:rFonts w:ascii="Times New Roman" w:hAnsi="Times New Roman" w:eastAsia="仿宋_GB2312" w:cs="Times New Roman"/>
                <w:b/>
                <w:bCs/>
                <w:sz w:val="21"/>
                <w:szCs w:val="21"/>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控制率</w:t>
            </w:r>
          </w:p>
        </w:tc>
      </w:tr>
      <w:tr>
        <w:tblPrEx>
          <w:tblCellMar>
            <w:top w:w="0" w:type="dxa"/>
            <w:left w:w="108" w:type="dxa"/>
            <w:bottom w:w="0" w:type="dxa"/>
            <w:right w:w="108" w:type="dxa"/>
          </w:tblCellMar>
        </w:tblPrEx>
        <w:trPr>
          <w:trHeight w:val="48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ascii="Times New Roman" w:hAnsi="Times New Roman" w:eastAsia="仿宋_GB2312" w:cs="Times New Roman"/>
                <w:sz w:val="21"/>
                <w:szCs w:val="21"/>
              </w:rPr>
              <w:t>　</w:t>
            </w:r>
            <w:r>
              <w:rPr>
                <w:rFonts w:hint="eastAsia" w:ascii="Times New Roman" w:hAnsi="Times New Roman" w:eastAsia="仿宋_GB2312" w:cs="Times New Roman"/>
                <w:sz w:val="21"/>
                <w:szCs w:val="21"/>
                <w:lang w:val="en-US" w:eastAsia="zh-CN"/>
              </w:rPr>
              <w:t>83</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95</w:t>
            </w:r>
            <w:r>
              <w:rPr>
                <w:rFonts w:ascii="Times New Roman" w:hAnsi="Times New Roman" w:eastAsia="仿宋_GB2312" w:cs="Times New Roman"/>
                <w:sz w:val="21"/>
                <w:szCs w:val="21"/>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ascii="Times New Roman" w:hAnsi="Times New Roman" w:eastAsia="仿宋_GB2312" w:cs="Times New Roman"/>
                <w:sz w:val="21"/>
                <w:szCs w:val="21"/>
              </w:rPr>
              <w:t>　</w:t>
            </w:r>
            <w:r>
              <w:rPr>
                <w:rFonts w:hint="eastAsia" w:ascii="Times New Roman" w:hAnsi="Times New Roman" w:eastAsia="仿宋_GB2312" w:cs="Times New Roman"/>
                <w:sz w:val="21"/>
                <w:szCs w:val="21"/>
                <w:lang w:val="en-US" w:eastAsia="zh-CN"/>
              </w:rPr>
              <w:t>114%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20</w:t>
            </w:r>
            <w:r>
              <w:rPr>
                <w:rFonts w:hint="eastAsia" w:ascii="Times New Roman" w:hAnsi="Times New Roman" w:eastAsia="仿宋_GB2312" w:cs="Times New Roman"/>
                <w:b/>
                <w:bCs/>
                <w:sz w:val="21"/>
                <w:szCs w:val="21"/>
                <w:lang w:val="en-US" w:eastAsia="zh-CN"/>
              </w:rPr>
              <w:t>21</w:t>
            </w:r>
            <w:r>
              <w:rPr>
                <w:rFonts w:ascii="Times New Roman" w:hAnsi="Times New Roman" w:eastAsia="仿宋_GB2312" w:cs="Times New Roman"/>
                <w:b/>
                <w:bCs/>
                <w:sz w:val="21"/>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20</w:t>
            </w:r>
            <w:r>
              <w:rPr>
                <w:rFonts w:hint="eastAsia" w:ascii="Times New Roman" w:hAnsi="Times New Roman" w:eastAsia="仿宋_GB2312" w:cs="Times New Roman"/>
                <w:b/>
                <w:bCs/>
                <w:sz w:val="21"/>
                <w:szCs w:val="21"/>
                <w:lang w:val="en-US" w:eastAsia="zh-CN"/>
              </w:rPr>
              <w:t>22</w:t>
            </w:r>
            <w:r>
              <w:rPr>
                <w:rFonts w:ascii="Times New Roman" w:hAnsi="Times New Roman" w:eastAsia="仿宋_GB2312" w:cs="Times New Roman"/>
                <w:b/>
                <w:bCs/>
                <w:sz w:val="21"/>
                <w:szCs w:val="21"/>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20</w:t>
            </w:r>
            <w:r>
              <w:rPr>
                <w:rFonts w:hint="eastAsia" w:ascii="Times New Roman" w:hAnsi="Times New Roman" w:eastAsia="仿宋_GB2312" w:cs="Times New Roman"/>
                <w:b/>
                <w:bCs/>
                <w:sz w:val="21"/>
                <w:szCs w:val="21"/>
                <w:lang w:val="en-US" w:eastAsia="zh-CN"/>
              </w:rPr>
              <w:t>22</w:t>
            </w:r>
            <w:r>
              <w:rPr>
                <w:rFonts w:ascii="Times New Roman" w:hAnsi="Times New Roman" w:eastAsia="仿宋_GB2312" w:cs="Times New Roman"/>
                <w:b/>
                <w:bCs/>
                <w:sz w:val="21"/>
                <w:szCs w:val="21"/>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23.84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10</w:t>
            </w:r>
          </w:p>
        </w:tc>
      </w:tr>
      <w:tr>
        <w:tblPrEx>
          <w:tblCellMar>
            <w:top w:w="0" w:type="dxa"/>
            <w:left w:w="108" w:type="dxa"/>
            <w:bottom w:w="0" w:type="dxa"/>
            <w:right w:w="108" w:type="dxa"/>
          </w:tblCellMar>
        </w:tblPrEx>
        <w:trPr>
          <w:trHeight w:val="573"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16.72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8.4</w:t>
            </w:r>
            <w:r>
              <w:rPr>
                <w:rFonts w:hint="default" w:ascii="Times New Roman" w:hAnsi="Times New Roman" w:eastAsia="仿宋_GB2312" w:cs="Times New Roman"/>
                <w:sz w:val="21"/>
                <w:szCs w:val="21"/>
                <w:lang w:eastAsia="zh-CN"/>
              </w:rPr>
              <w:t>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16.72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8.4</w:t>
            </w:r>
            <w:r>
              <w:rPr>
                <w:rFonts w:hint="default" w:ascii="Times New Roman" w:hAnsi="Times New Roman" w:eastAsia="仿宋_GB2312" w:cs="Times New Roman"/>
                <w:sz w:val="21"/>
                <w:szCs w:val="21"/>
                <w:lang w:eastAsia="zh-CN"/>
              </w:rPr>
              <w:t>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7.12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1.57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28.6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3、</w:t>
            </w:r>
            <w:r>
              <w:rPr>
                <w:rFonts w:hint="eastAsia" w:ascii="Times New Roman" w:hAnsi="Times New Roman" w:eastAsia="仿宋_GB2312" w:cs="Times New Roman"/>
                <w:sz w:val="21"/>
                <w:szCs w:val="21"/>
              </w:rPr>
              <w:t>污水处理厂征地补偿</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6.27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6.27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4、农贸市场电力改造项目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5、公租房工程款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12.33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12.33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3、专项资金（一个专项一行）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423.31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eastAsia="zh-CN"/>
              </w:rPr>
              <w:t>184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lang w:val="en-US"/>
              </w:rPr>
            </w:pPr>
            <w:r>
              <w:rPr>
                <w:rFonts w:hint="eastAsia" w:ascii="Times New Roman" w:hAnsi="Times New Roman" w:eastAsia="仿宋_GB2312" w:cs="Times New Roman"/>
                <w:sz w:val="21"/>
                <w:szCs w:val="21"/>
                <w:lang w:val="en-US" w:eastAsia="zh-CN"/>
              </w:rPr>
              <w:t>259.56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88.88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98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97.67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11.09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15.46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8.92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sz w:val="21"/>
                <w:szCs w:val="21"/>
                <w:lang w:val="en-US" w:eastAsia="zh-CN"/>
              </w:rPr>
            </w:pPr>
            <w:r>
              <w:rPr>
                <w:rFonts w:hint="eastAsia" w:ascii="Times New Roman" w:hAnsi="Times New Roman" w:eastAsia="仿宋_GB2312" w:cs="Times New Roman"/>
                <w:color w:val="auto"/>
                <w:sz w:val="21"/>
                <w:szCs w:val="21"/>
                <w:lang w:val="en-US" w:eastAsia="zh-CN"/>
              </w:rPr>
              <w:t>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lang w:val="en-US" w:eastAsia="zh-CN"/>
              </w:rPr>
              <w:t>2.8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0</w:t>
            </w:r>
            <w:r>
              <w:rPr>
                <w:rFonts w:ascii="Times New Roman" w:hAnsi="Times New Roman" w:eastAsia="仿宋_GB2312" w:cs="Times New Roman"/>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sz w:val="21"/>
                <w:szCs w:val="21"/>
                <w:lang w:val="en-US" w:eastAsia="zh-CN"/>
              </w:rPr>
            </w:pPr>
            <w:r>
              <w:rPr>
                <w:rFonts w:ascii="Times New Roman" w:hAnsi="Times New Roman" w:eastAsia="仿宋_GB2312" w:cs="Times New Roman"/>
                <w:sz w:val="21"/>
                <w:szCs w:val="21"/>
              </w:rPr>
              <w:t>　</w:t>
            </w:r>
            <w:r>
              <w:rPr>
                <w:rFonts w:hint="eastAsia" w:ascii="Times New Roman" w:hAnsi="Times New Roman" w:eastAsia="仿宋_GB2312" w:cs="Times New Roman"/>
                <w:sz w:val="21"/>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1495.7</w:t>
            </w:r>
            <w:r>
              <w:rPr>
                <w:rFonts w:hint="default" w:ascii="Times New Roman" w:hAnsi="Times New Roman" w:eastAsia="仿宋_GB2312" w:cs="Times New Roman"/>
                <w:sz w:val="21"/>
                <w:szCs w:val="21"/>
                <w:lang w:eastAsia="zh-CN"/>
              </w:rPr>
              <w:t>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1495.7</w:t>
            </w:r>
            <w:r>
              <w:rPr>
                <w:rFonts w:hint="default" w:ascii="Times New Roman" w:hAnsi="Times New Roman" w:eastAsia="仿宋_GB2312" w:cs="Times New Roman"/>
                <w:sz w:val="21"/>
                <w:szCs w:val="21"/>
                <w:lang w:eastAsia="zh-CN"/>
              </w:rPr>
              <w:t>5</w:t>
            </w:r>
            <w:r>
              <w:rPr>
                <w:rFonts w:ascii="Times New Roman" w:hAnsi="Times New Roman" w:eastAsia="仿宋_GB2312" w:cs="Times New Roman"/>
                <w:sz w:val="21"/>
                <w:szCs w:val="21"/>
              </w:rPr>
              <w:t>　</w:t>
            </w:r>
          </w:p>
        </w:tc>
      </w:tr>
      <w:tr>
        <w:tblPrEx>
          <w:tblCellMar>
            <w:top w:w="0" w:type="dxa"/>
            <w:left w:w="108" w:type="dxa"/>
            <w:bottom w:w="0" w:type="dxa"/>
            <w:right w:w="108" w:type="dxa"/>
          </w:tblCellMar>
        </w:tblPrEx>
        <w:trPr>
          <w:trHeight w:val="715"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楼堂馆所控制情况</w:t>
            </w:r>
            <w:r>
              <w:rPr>
                <w:rFonts w:ascii="Times New Roman" w:hAnsi="Times New Roman" w:eastAsia="仿宋_GB2312" w:cs="Times New Roman"/>
                <w:sz w:val="21"/>
                <w:szCs w:val="21"/>
              </w:rPr>
              <w:br w:type="textWrapping"/>
            </w:r>
            <w:r>
              <w:rPr>
                <w:rFonts w:ascii="Times New Roman" w:hAnsi="Times New Roman" w:eastAsia="仿宋_GB2312" w:cs="Times New Roman"/>
                <w:sz w:val="21"/>
                <w:szCs w:val="21"/>
              </w:rPr>
              <w:t>（202</w:t>
            </w:r>
            <w:r>
              <w:rPr>
                <w:rFonts w:hint="eastAsia" w:ascii="Times New Roman" w:hAnsi="Times New Roman" w:eastAsia="仿宋_GB2312" w:cs="Times New Roman"/>
                <w:sz w:val="21"/>
                <w:szCs w:val="21"/>
                <w:lang w:val="en-US" w:eastAsia="zh-CN"/>
              </w:rPr>
              <w:t>2</w:t>
            </w:r>
            <w:r>
              <w:rPr>
                <w:rFonts w:ascii="Times New Roman" w:hAnsi="Times New Roman" w:eastAsia="仿宋_GB2312" w:cs="Times New Roman"/>
                <w:sz w:val="21"/>
                <w:szCs w:val="21"/>
              </w:rPr>
              <w:t>年完工项目）</w:t>
            </w:r>
          </w:p>
        </w:tc>
        <w:tc>
          <w:tcPr>
            <w:tcW w:w="118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Cs/>
                <w:sz w:val="21"/>
                <w:szCs w:val="21"/>
              </w:rPr>
            </w:pPr>
            <w:r>
              <w:rPr>
                <w:rFonts w:ascii="Times New Roman" w:hAnsi="Times New Roman" w:eastAsia="仿宋_GB2312" w:cs="Times New Roman"/>
                <w:bCs/>
                <w:sz w:val="21"/>
                <w:szCs w:val="21"/>
              </w:rPr>
              <w:t>批复规模</w:t>
            </w:r>
            <w:r>
              <w:rPr>
                <w:rFonts w:ascii="Times New Roman" w:hAnsi="Times New Roman" w:eastAsia="仿宋_GB2312" w:cs="Times New Roman"/>
                <w:bCs/>
                <w:sz w:val="21"/>
                <w:szCs w:val="21"/>
              </w:rPr>
              <w:br w:type="textWrapping"/>
            </w:r>
            <w:r>
              <w:rPr>
                <w:rFonts w:ascii="Times New Roman" w:hAnsi="Times New Roman" w:eastAsia="仿宋_GB2312" w:cs="Times New Roman"/>
                <w:bCs/>
                <w:sz w:val="21"/>
                <w:szCs w:val="21"/>
              </w:rPr>
              <w:t>（</w:t>
            </w:r>
            <w:r>
              <w:rPr>
                <w:rFonts w:ascii="Times New Roman" w:hAnsi="Times New Roman" w:cs="Times New Roman"/>
                <w:bCs/>
                <w:sz w:val="21"/>
                <w:szCs w:val="21"/>
              </w:rPr>
              <w:t>㎡</w:t>
            </w:r>
            <w:r>
              <w:rPr>
                <w:rFonts w:ascii="Times New Roman" w:hAnsi="Times New Roman" w:eastAsia="仿宋_GB2312" w:cs="Times New Roman"/>
                <w:bCs/>
                <w:sz w:val="21"/>
                <w:szCs w:val="21"/>
              </w:rPr>
              <w:t>）</w:t>
            </w:r>
          </w:p>
        </w:tc>
        <w:tc>
          <w:tcPr>
            <w:tcW w:w="84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Cs/>
                <w:sz w:val="21"/>
                <w:szCs w:val="21"/>
              </w:rPr>
            </w:pPr>
            <w:r>
              <w:rPr>
                <w:rFonts w:ascii="Times New Roman" w:hAnsi="Times New Roman" w:eastAsia="仿宋_GB2312" w:cs="Times New Roman"/>
                <w:bCs/>
                <w:sz w:val="21"/>
                <w:szCs w:val="21"/>
              </w:rPr>
              <w:t>实际规模（</w:t>
            </w:r>
            <w:r>
              <w:rPr>
                <w:rFonts w:ascii="Times New Roman" w:hAnsi="Times New Roman" w:cs="Times New Roman"/>
                <w:bCs/>
                <w:sz w:val="21"/>
                <w:szCs w:val="21"/>
              </w:rPr>
              <w:t>㎡</w:t>
            </w:r>
            <w:r>
              <w:rPr>
                <w:rFonts w:ascii="Times New Roman" w:hAnsi="Times New Roman" w:eastAsia="仿宋_GB2312" w:cs="Times New Roman"/>
                <w:bCs/>
                <w:sz w:val="21"/>
                <w:szCs w:val="21"/>
              </w:rPr>
              <w:t>）</w:t>
            </w:r>
          </w:p>
        </w:tc>
        <w:tc>
          <w:tcPr>
            <w:tcW w:w="112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Cs/>
                <w:sz w:val="21"/>
                <w:szCs w:val="21"/>
              </w:rPr>
            </w:pPr>
            <w:r>
              <w:rPr>
                <w:rFonts w:ascii="Times New Roman" w:hAnsi="Times New Roman" w:eastAsia="仿宋_GB2312" w:cs="Times New Roman"/>
                <w:bCs/>
                <w:sz w:val="21"/>
                <w:szCs w:val="21"/>
              </w:rPr>
              <w:t>规模控制率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Cs/>
                <w:sz w:val="21"/>
                <w:szCs w:val="21"/>
              </w:rPr>
            </w:pPr>
            <w:r>
              <w:rPr>
                <w:rFonts w:ascii="Times New Roman" w:hAnsi="Times New Roman" w:eastAsia="仿宋_GB2312" w:cs="Times New Roman"/>
                <w:bCs/>
                <w:sz w:val="21"/>
                <w:szCs w:val="21"/>
              </w:rPr>
              <w:t>预算投资（万元）</w:t>
            </w:r>
          </w:p>
        </w:tc>
        <w:tc>
          <w:tcPr>
            <w:tcW w:w="108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Cs/>
                <w:sz w:val="21"/>
                <w:szCs w:val="21"/>
              </w:rPr>
            </w:pPr>
            <w:r>
              <w:rPr>
                <w:rFonts w:ascii="Times New Roman" w:hAnsi="Times New Roman" w:eastAsia="仿宋_GB2312" w:cs="Times New Roman"/>
                <w:bCs/>
                <w:sz w:val="21"/>
                <w:szCs w:val="21"/>
              </w:rPr>
              <w:t>实际投资（万元）</w:t>
            </w:r>
          </w:p>
        </w:tc>
        <w:tc>
          <w:tcPr>
            <w:tcW w:w="96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bCs/>
                <w:sz w:val="21"/>
                <w:szCs w:val="21"/>
              </w:rPr>
            </w:pPr>
            <w:r>
              <w:rPr>
                <w:rFonts w:ascii="Times New Roman" w:hAnsi="Times New Roman" w:eastAsia="仿宋_GB2312" w:cs="Times New Roman"/>
                <w:bCs/>
                <w:sz w:val="21"/>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无</w:t>
            </w:r>
            <w:r>
              <w:rPr>
                <w:rFonts w:ascii="Times New Roman" w:hAnsi="Times New Roman" w:eastAsia="仿宋_GB2312" w:cs="Times New Roman"/>
                <w:sz w:val="21"/>
                <w:szCs w:val="21"/>
              </w:rPr>
              <w:t>　</w:t>
            </w:r>
          </w:p>
        </w:tc>
        <w:tc>
          <w:tcPr>
            <w:tcW w:w="84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w:t>
            </w:r>
            <w:r>
              <w:rPr>
                <w:rFonts w:hint="eastAsia" w:ascii="Times New Roman" w:hAnsi="Times New Roman" w:eastAsia="仿宋_GB2312" w:cs="Times New Roman"/>
                <w:sz w:val="21"/>
                <w:szCs w:val="21"/>
                <w:lang w:eastAsia="zh-CN"/>
              </w:rPr>
              <w:t>无</w:t>
            </w:r>
          </w:p>
        </w:tc>
        <w:tc>
          <w:tcPr>
            <w:tcW w:w="112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w:t>
            </w:r>
            <w:r>
              <w:rPr>
                <w:rFonts w:hint="eastAsia" w:ascii="Times New Roman" w:hAnsi="Times New Roman" w:eastAsia="仿宋_GB2312" w:cs="Times New Roman"/>
                <w:sz w:val="21"/>
                <w:szCs w:val="21"/>
                <w:lang w:eastAsia="zh-CN"/>
              </w:rPr>
              <w:t>无</w:t>
            </w:r>
          </w:p>
        </w:tc>
        <w:tc>
          <w:tcPr>
            <w:tcW w:w="111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w:t>
            </w:r>
            <w:r>
              <w:rPr>
                <w:rFonts w:hint="eastAsia" w:ascii="Times New Roman" w:hAnsi="Times New Roman" w:eastAsia="仿宋_GB2312" w:cs="Times New Roman"/>
                <w:sz w:val="21"/>
                <w:szCs w:val="21"/>
                <w:lang w:eastAsia="zh-CN"/>
              </w:rPr>
              <w:t>无</w:t>
            </w:r>
          </w:p>
        </w:tc>
        <w:tc>
          <w:tcPr>
            <w:tcW w:w="108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w:t>
            </w:r>
            <w:r>
              <w:rPr>
                <w:rFonts w:hint="eastAsia" w:ascii="Times New Roman" w:hAnsi="Times New Roman" w:eastAsia="仿宋_GB2312" w:cs="Times New Roman"/>
                <w:sz w:val="21"/>
                <w:szCs w:val="21"/>
                <w:lang w:eastAsia="zh-CN"/>
              </w:rPr>
              <w:t>无</w:t>
            </w:r>
          </w:p>
        </w:tc>
        <w:tc>
          <w:tcPr>
            <w:tcW w:w="96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　</w:t>
            </w:r>
            <w:r>
              <w:rPr>
                <w:rFonts w:hint="eastAsia" w:ascii="Times New Roman" w:hAnsi="Times New Roman" w:eastAsia="仿宋_GB2312" w:cs="Times New Roman"/>
                <w:sz w:val="21"/>
                <w:szCs w:val="21"/>
                <w:lang w:eastAsia="zh-CN"/>
              </w:rPr>
              <w:t>无</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sz w:val="21"/>
                <w:szCs w:val="21"/>
                <w:lang w:eastAsia="zh-CN"/>
              </w:rPr>
            </w:pPr>
            <w:r>
              <w:rPr>
                <w:rFonts w:ascii="仿宋" w:hAnsi="仿宋" w:eastAsia="仿宋" w:cs="仿宋"/>
                <w:i w:val="0"/>
                <w:iCs w:val="0"/>
                <w:caps w:val="0"/>
                <w:color w:val="000000"/>
                <w:spacing w:val="0"/>
                <w:sz w:val="20"/>
                <w:szCs w:val="20"/>
                <w:shd w:val="clear" w:fill="FFFFFF"/>
              </w:rPr>
              <w:t>坚持</w:t>
            </w:r>
            <w:r>
              <w:rPr>
                <w:rFonts w:hint="default" w:ascii="Times New Roman" w:hAnsi="Times New Roman" w:eastAsia="宋体" w:cs="Times New Roman"/>
                <w:i w:val="0"/>
                <w:iCs w:val="0"/>
                <w:caps w:val="0"/>
                <w:color w:val="000000"/>
                <w:spacing w:val="0"/>
                <w:sz w:val="20"/>
                <w:szCs w:val="20"/>
                <w:shd w:val="clear" w:fill="FFFFFF"/>
              </w:rPr>
              <w:t>“</w:t>
            </w:r>
            <w:r>
              <w:rPr>
                <w:rFonts w:hint="eastAsia" w:ascii="仿宋" w:hAnsi="仿宋" w:eastAsia="仿宋" w:cs="仿宋"/>
                <w:i w:val="0"/>
                <w:iCs w:val="0"/>
                <w:caps w:val="0"/>
                <w:color w:val="000000"/>
                <w:spacing w:val="0"/>
                <w:sz w:val="20"/>
                <w:szCs w:val="20"/>
                <w:shd w:val="clear" w:fill="FFFFFF"/>
              </w:rPr>
              <w:t>勤俭节约、讲求效益</w:t>
            </w:r>
            <w:r>
              <w:rPr>
                <w:rFonts w:hint="default" w:ascii="Times New Roman" w:hAnsi="Times New Roman" w:eastAsia="宋体" w:cs="Times New Roman"/>
                <w:i w:val="0"/>
                <w:iCs w:val="0"/>
                <w:caps w:val="0"/>
                <w:color w:val="000000"/>
                <w:spacing w:val="0"/>
                <w:sz w:val="20"/>
                <w:szCs w:val="20"/>
                <w:shd w:val="clear" w:fill="FFFFFF"/>
              </w:rPr>
              <w:t>”</w:t>
            </w:r>
            <w:r>
              <w:rPr>
                <w:rFonts w:hint="eastAsia" w:ascii="仿宋" w:hAnsi="仿宋" w:eastAsia="仿宋" w:cs="仿宋"/>
                <w:i w:val="0"/>
                <w:iCs w:val="0"/>
                <w:caps w:val="0"/>
                <w:color w:val="000000"/>
                <w:spacing w:val="0"/>
                <w:sz w:val="20"/>
                <w:szCs w:val="20"/>
                <w:shd w:val="clear" w:fill="FFFFFF"/>
              </w:rPr>
              <w:t>的原则，进一步完善公务用车、公务接待、差旅费、会议费、培训费、办公用品采购等相关规章制度</w:t>
            </w:r>
            <w:r>
              <w:rPr>
                <w:rFonts w:hint="eastAsia" w:ascii="仿宋" w:hAnsi="仿宋" w:eastAsia="仿宋" w:cs="仿宋"/>
                <w:i w:val="0"/>
                <w:iCs w:val="0"/>
                <w:caps w:val="0"/>
                <w:color w:val="000000"/>
                <w:spacing w:val="0"/>
                <w:sz w:val="20"/>
                <w:szCs w:val="20"/>
                <w:shd w:val="clear" w:fill="FFFFFF"/>
                <w:lang w:eastAsia="zh-CN"/>
              </w:rPr>
              <w:t>。</w:t>
            </w:r>
          </w:p>
        </w:tc>
      </w:tr>
    </w:tbl>
    <w:p>
      <w:pPr>
        <w:widowControl/>
        <w:jc w:val="left"/>
        <w:rPr>
          <w:rFonts w:ascii="Times New Roman" w:hAnsi="Times New Roman" w:eastAsia="仿宋_GB2312" w:cs="Times New Roman"/>
          <w:sz w:val="21"/>
          <w:szCs w:val="21"/>
        </w:rPr>
      </w:pPr>
    </w:p>
    <w:p>
      <w:pPr>
        <w:widowControl/>
        <w:jc w:val="left"/>
        <w:rPr>
          <w:rFonts w:ascii="Times New Roman" w:hAnsi="Times New Roman" w:eastAsia="仿宋_GB2312" w:cs="Times New Roman"/>
          <w:sz w:val="21"/>
          <w:szCs w:val="21"/>
        </w:rPr>
      </w:pPr>
      <w:r>
        <w:rPr>
          <w:rFonts w:ascii="Times New Roman" w:hAnsi="Times New Roman" w:eastAsia="仿宋_GB2312" w:cs="Times New Roman"/>
          <w:sz w:val="21"/>
          <w:szCs w:val="21"/>
        </w:rPr>
        <w:t>说明：“项目支出”需要填报基本支出以外的所有项目支出情况，“公用经费”填报基本支出中的一般商品和服务支出。</w:t>
      </w:r>
    </w:p>
    <w:p>
      <w:pPr>
        <w:rPr>
          <w:rFonts w:ascii="Times New Roman" w:hAnsi="Times New Roman" w:eastAsia="黑体" w:cs="Times New Roman"/>
          <w:sz w:val="32"/>
          <w:szCs w:val="32"/>
        </w:rPr>
      </w:pPr>
      <w:r>
        <w:rPr>
          <w:rFonts w:ascii="Times New Roman" w:hAnsi="Times New Roman" w:eastAsia="仿宋_GB2312" w:cs="Times New Roman"/>
          <w:sz w:val="21"/>
          <w:szCs w:val="21"/>
        </w:rPr>
        <w:t xml:space="preserve">填表人： </w:t>
      </w:r>
      <w:r>
        <w:rPr>
          <w:rFonts w:hint="eastAsia"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 xml:space="preserve">  填报日期： </w:t>
      </w:r>
      <w:r>
        <w:rPr>
          <w:rFonts w:hint="eastAsia"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 xml:space="preserve"> 联系电话： </w:t>
      </w:r>
      <w:r>
        <w:rPr>
          <w:rFonts w:hint="eastAsia" w:ascii="Times New Roman" w:hAnsi="Times New Roman" w:eastAsia="仿宋_GB2312" w:cs="Times New Roman"/>
          <w:sz w:val="21"/>
          <w:szCs w:val="21"/>
          <w:lang w:val="en-US" w:eastAsia="zh-CN"/>
        </w:rPr>
        <w:t xml:space="preserve">       </w:t>
      </w:r>
      <w:r>
        <w:rPr>
          <w:rFonts w:ascii="Times New Roman" w:hAnsi="Times New Roman" w:eastAsia="仿宋_GB2312" w:cs="Times New Roman"/>
          <w:sz w:val="21"/>
          <w:szCs w:val="21"/>
        </w:rPr>
        <w:t>单位负责人签字：</w:t>
      </w:r>
    </w:p>
    <w:p>
      <w:pPr>
        <w:widowControl/>
        <w:spacing w:after="120" w:afterLines="50"/>
        <w:jc w:val="left"/>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widowControl/>
        <w:spacing w:after="120" w:afterLines="50"/>
        <w:jc w:val="center"/>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部门整体支出绩效自评表</w:t>
      </w:r>
    </w:p>
    <w:tbl>
      <w:tblPr>
        <w:tblStyle w:val="5"/>
        <w:tblW w:w="10079" w:type="dxa"/>
        <w:jc w:val="center"/>
        <w:tblLayout w:type="autofit"/>
        <w:tblCellMar>
          <w:top w:w="0" w:type="dxa"/>
          <w:left w:w="108" w:type="dxa"/>
          <w:bottom w:w="0" w:type="dxa"/>
          <w:right w:w="108" w:type="dxa"/>
        </w:tblCellMar>
      </w:tblPr>
      <w:tblGrid>
        <w:gridCol w:w="1080"/>
        <w:gridCol w:w="1080"/>
        <w:gridCol w:w="953"/>
        <w:gridCol w:w="1256"/>
        <w:gridCol w:w="95"/>
        <w:gridCol w:w="1311"/>
        <w:gridCol w:w="1269"/>
        <w:gridCol w:w="716"/>
        <w:gridCol w:w="881"/>
        <w:gridCol w:w="143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市直</w:t>
            </w:r>
            <w:r>
              <w:rPr>
                <w:rFonts w:ascii="Times New Roman" w:hAnsi="Times New Roman" w:eastAsia="仿宋_GB2312" w:cs="Times New Roman"/>
                <w:color w:val="000000"/>
                <w:sz w:val="20"/>
                <w:szCs w:val="20"/>
              </w:rPr>
              <w:t>预算部门名称</w:t>
            </w:r>
          </w:p>
        </w:tc>
        <w:tc>
          <w:tcPr>
            <w:tcW w:w="8999"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辰溪县潭湾镇人民政府</w:t>
            </w: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年度预</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算申请</w:t>
            </w:r>
            <w:r>
              <w:rPr>
                <w:rFonts w:ascii="Times New Roman" w:hAnsi="Times New Roman" w:eastAsia="仿宋_GB2312" w:cs="Times New Roman"/>
                <w:color w:val="000000"/>
                <w:sz w:val="20"/>
                <w:szCs w:val="20"/>
              </w:rPr>
              <w:br w:type="textWrapping"/>
            </w:r>
            <w:r>
              <w:rPr>
                <w:rFonts w:ascii="Times New Roman" w:hAnsi="Times New Roman" w:eastAsia="仿宋_GB2312" w:cs="Times New Roman"/>
                <w:color w:val="000000"/>
                <w:sz w:val="20"/>
                <w:szCs w:val="20"/>
              </w:rPr>
              <w:t>（万元）</w:t>
            </w: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0"/>
                <w:szCs w:val="20"/>
              </w:rPr>
            </w:pP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年初预算数</w:t>
            </w:r>
          </w:p>
        </w:tc>
        <w:tc>
          <w:tcPr>
            <w:tcW w:w="1406"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881"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执行率</w:t>
            </w:r>
          </w:p>
        </w:tc>
        <w:tc>
          <w:tcPr>
            <w:tcW w:w="143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color w:val="000000"/>
                <w:sz w:val="20"/>
                <w:szCs w:val="20"/>
              </w:rPr>
              <w:t>年度资金总额</w:t>
            </w: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1495.7</w:t>
            </w:r>
            <w:r>
              <w:rPr>
                <w:rFonts w:hint="default" w:ascii="Times New Roman" w:hAnsi="Times New Roman" w:eastAsia="仿宋_GB2312" w:cs="Times New Roman"/>
                <w:sz w:val="20"/>
                <w:szCs w:val="20"/>
                <w:lang w:eastAsia="zh-CN"/>
              </w:rPr>
              <w:t>5</w:t>
            </w:r>
          </w:p>
        </w:tc>
        <w:tc>
          <w:tcPr>
            <w:tcW w:w="140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lang w:val="en-US" w:eastAsia="zh-CN"/>
              </w:rPr>
              <w:t>1495.7</w:t>
            </w:r>
            <w:r>
              <w:rPr>
                <w:rFonts w:hint="default" w:ascii="Times New Roman" w:hAnsi="Times New Roman" w:eastAsia="仿宋_GB2312" w:cs="Times New Roman"/>
                <w:sz w:val="20"/>
                <w:szCs w:val="20"/>
                <w:lang w:eastAsia="zh-CN"/>
              </w:rPr>
              <w:t>5</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lang w:val="en-US" w:eastAsia="zh-CN"/>
              </w:rPr>
              <w:t>1495.7</w:t>
            </w:r>
            <w:r>
              <w:rPr>
                <w:rFonts w:hint="default" w:ascii="Times New Roman" w:hAnsi="Times New Roman" w:eastAsia="仿宋_GB2312" w:cs="Times New Roman"/>
                <w:sz w:val="20"/>
                <w:szCs w:val="20"/>
                <w:lang w:eastAsia="zh-CN"/>
              </w:rPr>
              <w:t>5</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881"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100%</w:t>
            </w:r>
          </w:p>
        </w:tc>
        <w:tc>
          <w:tcPr>
            <w:tcW w:w="1438"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10</w:t>
            </w:r>
          </w:p>
        </w:tc>
      </w:tr>
      <w:tr>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eastAsia="zh-CN"/>
              </w:rPr>
            </w:pPr>
            <w:r>
              <w:rPr>
                <w:rFonts w:ascii="Times New Roman" w:hAnsi="Times New Roman" w:eastAsia="仿宋_GB2312" w:cs="Times New Roman"/>
                <w:color w:val="000000"/>
                <w:sz w:val="20"/>
                <w:szCs w:val="20"/>
              </w:rPr>
              <w:t xml:space="preserve">  其中：  一般公共预算：</w:t>
            </w:r>
            <w:r>
              <w:rPr>
                <w:rFonts w:hint="eastAsia" w:ascii="Times New Roman" w:hAnsi="Times New Roman" w:eastAsia="仿宋_GB2312" w:cs="Times New Roman"/>
                <w:color w:val="000000"/>
                <w:sz w:val="20"/>
                <w:szCs w:val="20"/>
                <w:lang w:val="en-US" w:eastAsia="zh-CN"/>
              </w:rPr>
              <w:t>1254.8</w:t>
            </w:r>
            <w:r>
              <w:rPr>
                <w:rFonts w:hint="default" w:ascii="Times New Roman" w:hAnsi="Times New Roman" w:eastAsia="仿宋_GB2312" w:cs="Times New Roman"/>
                <w:color w:val="000000"/>
                <w:sz w:val="20"/>
                <w:szCs w:val="20"/>
                <w:lang w:eastAsia="zh-CN"/>
              </w:rPr>
              <w:t>5</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其中：基本支出：</w:t>
            </w:r>
            <w:r>
              <w:rPr>
                <w:rFonts w:hint="eastAsia" w:ascii="Times New Roman" w:hAnsi="Times New Roman" w:eastAsia="仿宋_GB2312" w:cs="Times New Roman"/>
                <w:color w:val="000000"/>
                <w:sz w:val="20"/>
                <w:szCs w:val="20"/>
                <w:lang w:val="en-US" w:eastAsia="zh-CN"/>
              </w:rPr>
              <w:t>1467.14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政府性基金拨款：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项目支出：</w:t>
            </w:r>
            <w:r>
              <w:rPr>
                <w:rFonts w:hint="eastAsia" w:ascii="Times New Roman" w:hAnsi="Times New Roman" w:eastAsia="仿宋_GB2312" w:cs="Times New Roman"/>
                <w:color w:val="000000"/>
                <w:sz w:val="20"/>
                <w:szCs w:val="20"/>
                <w:lang w:val="en-US" w:eastAsia="zh-CN"/>
              </w:rPr>
              <w:t>28.6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p>
        </w:tc>
      </w:tr>
      <w:tr>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eastAsia="zh-CN"/>
              </w:rPr>
              <w:t>上年结转</w:t>
            </w:r>
            <w:r>
              <w:rPr>
                <w:rFonts w:ascii="Times New Roman" w:hAnsi="Times New Roman" w:eastAsia="仿宋_GB2312" w:cs="Times New Roman"/>
                <w:color w:val="000000"/>
                <w:sz w:val="20"/>
                <w:szCs w:val="20"/>
              </w:rPr>
              <w:t>资金：</w:t>
            </w:r>
            <w:r>
              <w:rPr>
                <w:rFonts w:hint="eastAsia" w:ascii="Times New Roman" w:hAnsi="Times New Roman" w:eastAsia="仿宋_GB2312" w:cs="Times New Roman"/>
                <w:color w:val="000000"/>
                <w:sz w:val="20"/>
                <w:szCs w:val="20"/>
                <w:lang w:val="en-US" w:eastAsia="zh-CN"/>
              </w:rPr>
              <w:t>240.9</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年度总体目标</w:t>
            </w:r>
          </w:p>
        </w:tc>
        <w:tc>
          <w:tcPr>
            <w:tcW w:w="4695"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p>
        </w:tc>
        <w:tc>
          <w:tcPr>
            <w:tcW w:w="4695"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制定和组织实施经济、科技和社会发展计划，部署重点工程建设，地方道路建设及公共设施，水利设施的管理，负责土地、林木、 水等自然资源和生态环境的保护，做好护林防火工作，负责本辖区内的民政、文化教育、卫生、体育等社会公益事业的综合性工作，按计划组织税收的征收，管好财政资金，增强财政实力。</w:t>
            </w:r>
            <w:r>
              <w:rPr>
                <w:rFonts w:ascii="Times New Roman" w:hAnsi="Times New Roman" w:eastAsia="仿宋_GB2312" w:cs="Times New Roman"/>
                <w:color w:val="000000"/>
                <w:sz w:val="20"/>
                <w:szCs w:val="20"/>
              </w:rPr>
              <w:t>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eastAsia="仿宋_GB2312"/>
                <w:color w:val="000000"/>
                <w:kern w:val="0"/>
                <w:szCs w:val="21"/>
              </w:rPr>
              <w:t>实现了乡政府正常运转，各职能部门正常履职。按计划组织本级财政收入和地方税的征收，完成国家财政计划，不断培植税源，管好财政资金，增强财政实。</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绩</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标</w:t>
            </w:r>
          </w:p>
          <w:p>
            <w:pPr>
              <w:widowControl/>
              <w:spacing w:line="240" w:lineRule="exact"/>
              <w:jc w:val="center"/>
              <w:rPr>
                <w:rFonts w:ascii="Times New Roman" w:hAnsi="Times New Roman" w:eastAsia="仿宋_GB2312" w:cs="Times New Roman"/>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一级指标</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二级指标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分值</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得分</w:t>
            </w:r>
          </w:p>
        </w:tc>
        <w:tc>
          <w:tcPr>
            <w:tcW w:w="1438" w:type="dxa"/>
            <w:tcBorders>
              <w:top w:val="nil"/>
              <w:left w:val="nil"/>
              <w:bottom w:val="single" w:color="auto" w:sz="4" w:space="0"/>
              <w:right w:val="single" w:color="auto" w:sz="4" w:space="0"/>
            </w:tcBorders>
            <w:noWrap w:val="0"/>
            <w:vAlign w:val="center"/>
          </w:tcPr>
          <w:p>
            <w:pPr>
              <w:widowControl/>
              <w:spacing w:line="240" w:lineRule="exact"/>
              <w:jc w:val="both"/>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trHeight w:val="6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产出指标</w:t>
            </w:r>
          </w:p>
          <w:p>
            <w:pPr>
              <w:widowControl/>
              <w:spacing w:line="240" w:lineRule="exact"/>
              <w:jc w:val="center"/>
              <w:rPr>
                <w:rFonts w:ascii="Times New Roman" w:hAnsi="Times New Roman" w:eastAsia="仿宋_GB2312" w:cs="Times New Roman"/>
                <w:color w:val="000000"/>
                <w:sz w:val="20"/>
                <w:szCs w:val="20"/>
              </w:rPr>
            </w:pP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(50分)</w:t>
            </w: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数量指标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仿宋_GB2312" w:hAnsi="宋体" w:eastAsia="仿宋_GB2312" w:cs="宋体"/>
                <w:kern w:val="0"/>
                <w:sz w:val="20"/>
                <w:szCs w:val="20"/>
              </w:rPr>
              <w:t>在职人员控制率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83人</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95人</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0</w:t>
            </w:r>
          </w:p>
        </w:tc>
        <w:tc>
          <w:tcPr>
            <w:tcW w:w="143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健全管理体系</w:t>
            </w:r>
          </w:p>
        </w:tc>
      </w:tr>
      <w:tr>
        <w:tblPrEx>
          <w:tblCellMar>
            <w:top w:w="0" w:type="dxa"/>
            <w:left w:w="108" w:type="dxa"/>
            <w:bottom w:w="0" w:type="dxa"/>
            <w:right w:w="108" w:type="dxa"/>
          </w:tblCellMar>
        </w:tblPrEx>
        <w:trPr>
          <w:trHeight w:val="64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sz w:val="20"/>
                <w:szCs w:val="20"/>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预算执行率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p>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100%</w:t>
            </w:r>
          </w:p>
          <w:p>
            <w:pPr>
              <w:widowControl/>
              <w:spacing w:line="240" w:lineRule="exact"/>
              <w:jc w:val="center"/>
              <w:rPr>
                <w:rFonts w:hint="eastAsia" w:ascii="Times New Roman" w:hAnsi="Times New Roman" w:eastAsia="仿宋_GB2312" w:cs="Times New Roman"/>
                <w:color w:val="000000"/>
                <w:sz w:val="20"/>
                <w:szCs w:val="20"/>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p>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100%</w:t>
            </w:r>
          </w:p>
          <w:p>
            <w:pPr>
              <w:widowControl/>
              <w:spacing w:line="240" w:lineRule="exact"/>
              <w:jc w:val="center"/>
              <w:rPr>
                <w:rFonts w:hint="eastAsia" w:ascii="Times New Roman" w:hAnsi="Times New Roman" w:eastAsia="仿宋_GB2312" w:cs="Times New Roman"/>
                <w:color w:val="000000"/>
                <w:sz w:val="20"/>
                <w:szCs w:val="20"/>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207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953" w:type="dxa"/>
            <w:vMerge w:val="restart"/>
            <w:tcBorders>
              <w:top w:val="single" w:color="auto" w:sz="4" w:space="0"/>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质量指标</w:t>
            </w:r>
          </w:p>
        </w:tc>
        <w:tc>
          <w:tcPr>
            <w:tcW w:w="13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财政资金管理及使用</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p>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规范预算开支，不得挤占挪用财政资金，资金的拨付是否有完整的审批程序和手续。</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p>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未出现挤占挪用情况，支付审批程序完备</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8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Times New Roman"/>
                <w:color w:val="000000"/>
                <w:sz w:val="20"/>
                <w:szCs w:val="20"/>
                <w:lang w:val="en-US" w:eastAsia="zh-CN"/>
              </w:rPr>
              <w:t>10</w:t>
            </w:r>
          </w:p>
        </w:tc>
        <w:tc>
          <w:tcPr>
            <w:tcW w:w="143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71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953"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sz w:val="20"/>
                <w:szCs w:val="20"/>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预决算信息公开性</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p>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按规定内容公开预决算信息；按规定时限公开预决算信息。</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按规定内容、时间公开了预决算信息</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1438"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67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953"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机关事务正常运转率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p>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100%</w:t>
            </w:r>
          </w:p>
          <w:p>
            <w:pPr>
              <w:widowControl/>
              <w:spacing w:line="240" w:lineRule="exact"/>
              <w:jc w:val="center"/>
              <w:rPr>
                <w:rFonts w:hint="eastAsia" w:ascii="Times New Roman" w:hAnsi="Times New Roman" w:eastAsia="仿宋_GB2312" w:cs="Times New Roman"/>
                <w:color w:val="000000"/>
                <w:sz w:val="20"/>
                <w:szCs w:val="20"/>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p>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100%</w:t>
            </w:r>
          </w:p>
          <w:p>
            <w:pPr>
              <w:widowControl/>
              <w:spacing w:line="240" w:lineRule="exact"/>
              <w:jc w:val="center"/>
              <w:rPr>
                <w:rFonts w:hint="eastAsia" w:ascii="Times New Roman" w:hAnsi="Times New Roman" w:eastAsia="仿宋_GB2312" w:cs="Times New Roman"/>
                <w:color w:val="000000"/>
                <w:sz w:val="20"/>
                <w:szCs w:val="20"/>
              </w:rPr>
            </w:pP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1438"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64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时效指标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资金支付时效</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按计划及时支付</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按计划及时支付</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699"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color w:val="000000"/>
                <w:sz w:val="20"/>
                <w:szCs w:val="20"/>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工作完成及时情况</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部门在规定时限内及时完成全年任务考核</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rPr>
            </w:pPr>
          </w:p>
          <w:p>
            <w:pPr>
              <w:widowControl/>
              <w:spacing w:line="240" w:lineRule="exact"/>
              <w:jc w:val="center"/>
              <w:rPr>
                <w:rFonts w:hint="eastAsia"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按时完成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p>
          <w:p>
            <w:pPr>
              <w:widowControl/>
              <w:spacing w:line="24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p>
            <w:pPr>
              <w:widowControl/>
              <w:spacing w:line="240" w:lineRule="exact"/>
              <w:jc w:val="center"/>
              <w:rPr>
                <w:rFonts w:ascii="Times New Roman" w:hAnsi="Times New Roman" w:eastAsia="仿宋_GB2312" w:cs="Times New Roman"/>
                <w:color w:val="000000"/>
                <w:sz w:val="20"/>
                <w:szCs w:val="20"/>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84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成本指标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2"/>
                <w:sz w:val="20"/>
                <w:szCs w:val="20"/>
                <w:lang w:val="en-US" w:eastAsia="zh-CN" w:bidi="ar-SA"/>
              </w:rPr>
            </w:pPr>
            <w:r>
              <w:rPr>
                <w:rFonts w:hint="default" w:ascii="Times New Roman" w:hAnsi="Times New Roman" w:eastAsia="宋体" w:cs="Times New Roman"/>
                <w:i w:val="0"/>
                <w:iCs w:val="0"/>
                <w:caps w:val="0"/>
                <w:color w:val="000000"/>
                <w:spacing w:val="0"/>
                <w:sz w:val="20"/>
                <w:szCs w:val="20"/>
                <w:shd w:val="clear" w:fill="FFFFFF"/>
              </w:rPr>
              <w:t>“</w:t>
            </w:r>
            <w:r>
              <w:rPr>
                <w:rFonts w:hint="eastAsia" w:ascii="Times New Roman" w:hAnsi="Times New Roman" w:eastAsia="仿宋_GB2312" w:cs="Times New Roman"/>
                <w:color w:val="000000"/>
                <w:sz w:val="20"/>
                <w:szCs w:val="20"/>
              </w:rPr>
              <w:t>三公经费</w:t>
            </w:r>
            <w:r>
              <w:rPr>
                <w:rFonts w:hint="default"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rPr>
              <w:t>控制率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p>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≤100%</w:t>
            </w:r>
          </w:p>
          <w:p>
            <w:pPr>
              <w:widowControl/>
              <w:spacing w:line="240" w:lineRule="exact"/>
              <w:jc w:val="center"/>
              <w:rPr>
                <w:rFonts w:ascii="Times New Roman" w:hAnsi="Times New Roman" w:eastAsia="仿宋_GB2312" w:cs="Times New Roman"/>
                <w:color w:val="000000"/>
                <w:kern w:val="2"/>
                <w:sz w:val="20"/>
                <w:szCs w:val="20"/>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p>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≤100%</w:t>
            </w:r>
          </w:p>
          <w:p>
            <w:pPr>
              <w:widowControl/>
              <w:spacing w:line="240" w:lineRule="exact"/>
              <w:jc w:val="center"/>
              <w:rPr>
                <w:rFonts w:ascii="Times New Roman" w:hAnsi="Times New Roman" w:eastAsia="仿宋_GB2312" w:cs="Times New Roman"/>
                <w:color w:val="000000"/>
                <w:kern w:val="2"/>
                <w:sz w:val="20"/>
                <w:szCs w:val="20"/>
                <w:lang w:val="en-US" w:eastAsia="zh-CN" w:bidi="ar-SA"/>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10</w:t>
            </w: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10</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p>
            <w:pPr>
              <w:widowControl/>
              <w:spacing w:line="240" w:lineRule="exact"/>
              <w:jc w:val="left"/>
              <w:rPr>
                <w:rFonts w:ascii="Times New Roman" w:hAnsi="Times New Roman" w:eastAsia="仿宋_GB2312" w:cs="Times New Roman"/>
                <w:color w:val="000000"/>
                <w:kern w:val="2"/>
                <w:sz w:val="20"/>
                <w:szCs w:val="20"/>
                <w:lang w:val="en-US" w:eastAsia="zh-CN" w:bidi="ar-SA"/>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1401"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效益指标</w:t>
            </w:r>
          </w:p>
          <w:p>
            <w:pPr>
              <w:widowControl/>
              <w:spacing w:line="240" w:lineRule="exact"/>
              <w:jc w:val="left"/>
              <w:rPr>
                <w:rFonts w:ascii="Times New Roman" w:hAnsi="Times New Roman" w:eastAsia="仿宋_GB2312" w:cs="Times New Roman"/>
                <w:color w:val="000000"/>
                <w:sz w:val="20"/>
                <w:szCs w:val="20"/>
              </w:rPr>
            </w:pPr>
          </w:p>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（30分）</w:t>
            </w:r>
          </w:p>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经济效</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加快发展农村经济，提高就业率，切实增加群众收入</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群众致富能力持续增强</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群众致富能力持续增强</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8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143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1121"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社会效</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3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保障基层社会民生，方便群众</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保障特殊困难人群的基本生活。</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保障特殊困难人群的基本生活。</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1438"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125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生态效</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益指标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完善乡镇环保基础设施建设，提升农村人居环境</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将卫生环境保护贯穿到辖区村(社区)</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将卫生环境保护贯穿到辖区村(社区)</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1438"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931"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可持续影响指标</w:t>
            </w:r>
          </w:p>
        </w:tc>
        <w:tc>
          <w:tcPr>
            <w:tcW w:w="13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落实各项惠农扶贫政策</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惠农补贴发放到位</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惠农补贴发放到位</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5</w:t>
            </w:r>
          </w:p>
        </w:tc>
        <w:tc>
          <w:tcPr>
            <w:tcW w:w="8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5</w:t>
            </w:r>
          </w:p>
        </w:tc>
        <w:tc>
          <w:tcPr>
            <w:tcW w:w="143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866"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满意度</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指标</w:t>
            </w:r>
          </w:p>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（10分）</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服务对象满意度指标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干部及群众满意度</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≥90%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rPr>
              <w:t>≥90%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10</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10</w:t>
            </w:r>
          </w:p>
        </w:tc>
        <w:tc>
          <w:tcPr>
            <w:tcW w:w="1438"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100</w:t>
            </w:r>
          </w:p>
        </w:tc>
        <w:tc>
          <w:tcPr>
            <w:tcW w:w="88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ascii="Times New Roman" w:hAnsi="Times New Roman" w:eastAsia="仿宋_GB2312" w:cs="Times New Roman"/>
                <w:color w:val="000000"/>
                <w:sz w:val="20"/>
                <w:szCs w:val="20"/>
              </w:rPr>
              <w:t>　</w:t>
            </w:r>
            <w:r>
              <w:rPr>
                <w:rFonts w:hint="eastAsia" w:ascii="Times New Roman" w:hAnsi="Times New Roman" w:eastAsia="仿宋_GB2312" w:cs="Times New Roman"/>
                <w:color w:val="000000"/>
                <w:sz w:val="20"/>
                <w:szCs w:val="20"/>
                <w:lang w:val="en-US" w:eastAsia="zh-CN"/>
              </w:rPr>
              <w:t>95</w:t>
            </w:r>
          </w:p>
        </w:tc>
        <w:tc>
          <w:tcPr>
            <w:tcW w:w="1438"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sz w:val="20"/>
                <w:szCs w:val="20"/>
              </w:rPr>
            </w:pPr>
          </w:p>
        </w:tc>
      </w:tr>
    </w:tbl>
    <w:p>
      <w:pPr>
        <w:rPr>
          <w:rFonts w:ascii="Times New Roman" w:hAnsi="Times New Roman" w:eastAsia="仿宋_GB2312" w:cs="Times New Roman"/>
          <w:sz w:val="22"/>
          <w:szCs w:val="22"/>
        </w:rPr>
      </w:pPr>
      <w:r>
        <w:rPr>
          <w:rFonts w:ascii="Times New Roman" w:hAnsi="Times New Roman" w:eastAsia="仿宋_GB2312" w:cs="Times New Roman"/>
          <w:sz w:val="22"/>
          <w:szCs w:val="22"/>
        </w:rPr>
        <w:t xml:space="preserve">填表人：      </w:t>
      </w:r>
      <w:r>
        <w:rPr>
          <w:rFonts w:hint="eastAsia" w:ascii="Times New Roman" w:hAnsi="Times New Roman" w:eastAsia="仿宋_GB2312" w:cs="Times New Roman"/>
          <w:sz w:val="22"/>
          <w:szCs w:val="22"/>
          <w:lang w:val="en-US" w:eastAsia="zh-CN"/>
        </w:rPr>
        <w:t xml:space="preserve">      </w:t>
      </w:r>
      <w:r>
        <w:rPr>
          <w:rFonts w:ascii="Times New Roman" w:hAnsi="Times New Roman" w:eastAsia="仿宋_GB2312" w:cs="Times New Roman"/>
          <w:sz w:val="22"/>
          <w:szCs w:val="22"/>
        </w:rPr>
        <w:t xml:space="preserve">填报日期：     </w:t>
      </w:r>
      <w:r>
        <w:rPr>
          <w:rFonts w:hint="eastAsia" w:ascii="Times New Roman" w:hAnsi="Times New Roman" w:eastAsia="仿宋_GB2312" w:cs="Times New Roman"/>
          <w:sz w:val="22"/>
          <w:szCs w:val="22"/>
          <w:lang w:val="en-US" w:eastAsia="zh-CN"/>
        </w:rPr>
        <w:t xml:space="preserve">  </w:t>
      </w:r>
      <w:r>
        <w:rPr>
          <w:rFonts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ascii="Times New Roman" w:hAnsi="Times New Roman" w:eastAsia="仿宋_GB2312" w:cs="Times New Roman"/>
          <w:sz w:val="22"/>
          <w:szCs w:val="22"/>
        </w:rPr>
        <w:t xml:space="preserve">   联系电话：   </w:t>
      </w:r>
      <w:r>
        <w:rPr>
          <w:rFonts w:hint="eastAsia" w:ascii="Times New Roman" w:hAnsi="Times New Roman" w:eastAsia="仿宋_GB2312" w:cs="Times New Roman"/>
          <w:sz w:val="22"/>
          <w:szCs w:val="22"/>
          <w:lang w:val="en-US" w:eastAsia="zh-CN"/>
        </w:rPr>
        <w:t xml:space="preserve"> </w:t>
      </w:r>
      <w:r>
        <w:rPr>
          <w:rFonts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ascii="Times New Roman" w:hAnsi="Times New Roman" w:eastAsia="仿宋_GB2312" w:cs="Times New Roman"/>
          <w:sz w:val="22"/>
          <w:szCs w:val="22"/>
        </w:rPr>
        <w:t xml:space="preserve"> 单位负责人签字：</w:t>
      </w:r>
    </w:p>
    <w:p>
      <w:pPr>
        <w:rPr>
          <w:rFonts w:hint="eastAsia"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 xml:space="preserve"> </w:t>
      </w:r>
    </w:p>
    <w:p>
      <w:pPr>
        <w:rPr>
          <w:rFonts w:hint="eastAsia" w:ascii="Times New Roman" w:hAnsi="Times New Roman" w:eastAsia="仿宋_GB2312" w:cs="Times New Roman"/>
          <w:color w:val="FF0000"/>
          <w:sz w:val="22"/>
          <w:szCs w:val="22"/>
          <w:lang w:val="en-US" w:eastAsia="zh-CN"/>
        </w:rPr>
      </w:pPr>
      <w:r>
        <w:rPr>
          <w:rFonts w:hint="eastAsia" w:ascii="Times New Roman" w:hAnsi="Times New Roman" w:eastAsia="仿宋_GB2312" w:cs="Times New Roman"/>
          <w:color w:val="FF0000"/>
          <w:sz w:val="22"/>
          <w:szCs w:val="22"/>
          <w:lang w:val="en-US" w:eastAsia="zh-CN"/>
        </w:rPr>
        <w:t>公共基础分90分+个性表10分*实得/100=总分数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947AD"/>
    <w:multiLevelType w:val="singleLevel"/>
    <w:tmpl w:val="B16947AD"/>
    <w:lvl w:ilvl="0" w:tentative="0">
      <w:start w:val="3"/>
      <w:numFmt w:val="chineseCounting"/>
      <w:suff w:val="nothing"/>
      <w:lvlText w:val="（%1）"/>
      <w:lvlJc w:val="left"/>
      <w:pPr>
        <w:ind w:left="-1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TE1NGI1YzgzZDU4YTQ0NWQzYjczMDA5MjQ0NTMifQ=="/>
    <w:docVar w:name="KSO_WPS_MARK_KEY" w:val="1e8f3732-c5dc-4478-ad21-f168a2143f7d"/>
  </w:docVars>
  <w:rsids>
    <w:rsidRoot w:val="00525786"/>
    <w:rsid w:val="000263A6"/>
    <w:rsid w:val="000C024B"/>
    <w:rsid w:val="000E7B1F"/>
    <w:rsid w:val="001F7F7E"/>
    <w:rsid w:val="00431D87"/>
    <w:rsid w:val="004E7D06"/>
    <w:rsid w:val="00525786"/>
    <w:rsid w:val="005F5B18"/>
    <w:rsid w:val="00614D2C"/>
    <w:rsid w:val="0064720E"/>
    <w:rsid w:val="0065570F"/>
    <w:rsid w:val="00693C70"/>
    <w:rsid w:val="00704D22"/>
    <w:rsid w:val="007149A4"/>
    <w:rsid w:val="00756122"/>
    <w:rsid w:val="007A4766"/>
    <w:rsid w:val="007A7CBB"/>
    <w:rsid w:val="008771A6"/>
    <w:rsid w:val="008E212B"/>
    <w:rsid w:val="008F21DE"/>
    <w:rsid w:val="009338D7"/>
    <w:rsid w:val="009F09BA"/>
    <w:rsid w:val="00C2528C"/>
    <w:rsid w:val="00DE7970"/>
    <w:rsid w:val="00EA3129"/>
    <w:rsid w:val="00F03808"/>
    <w:rsid w:val="00F8365A"/>
    <w:rsid w:val="00F95045"/>
    <w:rsid w:val="011968B5"/>
    <w:rsid w:val="014A4B87"/>
    <w:rsid w:val="01EC5C3E"/>
    <w:rsid w:val="02AB5AF9"/>
    <w:rsid w:val="02C40969"/>
    <w:rsid w:val="03F163A6"/>
    <w:rsid w:val="04117BDE"/>
    <w:rsid w:val="041616A2"/>
    <w:rsid w:val="04245B63"/>
    <w:rsid w:val="05683DD0"/>
    <w:rsid w:val="05BA474E"/>
    <w:rsid w:val="05DD246D"/>
    <w:rsid w:val="07D7113E"/>
    <w:rsid w:val="09E35B78"/>
    <w:rsid w:val="0B024724"/>
    <w:rsid w:val="0B772A1C"/>
    <w:rsid w:val="0C0B13B7"/>
    <w:rsid w:val="0C9475FE"/>
    <w:rsid w:val="10C304B2"/>
    <w:rsid w:val="111331E7"/>
    <w:rsid w:val="11A32BFD"/>
    <w:rsid w:val="12072620"/>
    <w:rsid w:val="123C39CA"/>
    <w:rsid w:val="12AD1419"/>
    <w:rsid w:val="138E1F4E"/>
    <w:rsid w:val="145D6362"/>
    <w:rsid w:val="1588331F"/>
    <w:rsid w:val="15B14D7D"/>
    <w:rsid w:val="16970417"/>
    <w:rsid w:val="16B70AB9"/>
    <w:rsid w:val="1768590F"/>
    <w:rsid w:val="17E6C063"/>
    <w:rsid w:val="1855429F"/>
    <w:rsid w:val="19636CD6"/>
    <w:rsid w:val="19874772"/>
    <w:rsid w:val="1AFE34F4"/>
    <w:rsid w:val="1B0016FF"/>
    <w:rsid w:val="1B4A3CA9"/>
    <w:rsid w:val="1B4F6F9A"/>
    <w:rsid w:val="1B8B42C2"/>
    <w:rsid w:val="1B950DC1"/>
    <w:rsid w:val="1BA84E74"/>
    <w:rsid w:val="1D5F1562"/>
    <w:rsid w:val="1E49223A"/>
    <w:rsid w:val="1E9F01C1"/>
    <w:rsid w:val="1EBF050A"/>
    <w:rsid w:val="1F262338"/>
    <w:rsid w:val="20684BD2"/>
    <w:rsid w:val="21025026"/>
    <w:rsid w:val="21E32762"/>
    <w:rsid w:val="223B259E"/>
    <w:rsid w:val="246456B0"/>
    <w:rsid w:val="24EC0853"/>
    <w:rsid w:val="25641E0C"/>
    <w:rsid w:val="262B0B7B"/>
    <w:rsid w:val="27D843EB"/>
    <w:rsid w:val="283A50A6"/>
    <w:rsid w:val="28973DB5"/>
    <w:rsid w:val="299D24FB"/>
    <w:rsid w:val="2A786348"/>
    <w:rsid w:val="2C11436F"/>
    <w:rsid w:val="2CD05FD9"/>
    <w:rsid w:val="2CED0939"/>
    <w:rsid w:val="2FC82F97"/>
    <w:rsid w:val="304308C8"/>
    <w:rsid w:val="305F38FB"/>
    <w:rsid w:val="31CA749A"/>
    <w:rsid w:val="327C49AF"/>
    <w:rsid w:val="32804D29"/>
    <w:rsid w:val="338D077F"/>
    <w:rsid w:val="33900270"/>
    <w:rsid w:val="33C10429"/>
    <w:rsid w:val="33C323F3"/>
    <w:rsid w:val="35164541"/>
    <w:rsid w:val="357C0AAC"/>
    <w:rsid w:val="35CD1307"/>
    <w:rsid w:val="364A0BAA"/>
    <w:rsid w:val="37906A90"/>
    <w:rsid w:val="381B1EC5"/>
    <w:rsid w:val="389B749B"/>
    <w:rsid w:val="38F27167"/>
    <w:rsid w:val="39AC56D7"/>
    <w:rsid w:val="3A791A5E"/>
    <w:rsid w:val="3A865F28"/>
    <w:rsid w:val="3A9740AB"/>
    <w:rsid w:val="3B8B1A48"/>
    <w:rsid w:val="3BA7084C"/>
    <w:rsid w:val="3CF90C34"/>
    <w:rsid w:val="3ED31BAE"/>
    <w:rsid w:val="3F986292"/>
    <w:rsid w:val="417B430D"/>
    <w:rsid w:val="420C069B"/>
    <w:rsid w:val="425A357C"/>
    <w:rsid w:val="436F39FE"/>
    <w:rsid w:val="447339C1"/>
    <w:rsid w:val="44780FD8"/>
    <w:rsid w:val="447D3D26"/>
    <w:rsid w:val="45BE6EBE"/>
    <w:rsid w:val="46250CEB"/>
    <w:rsid w:val="478F466E"/>
    <w:rsid w:val="47925F0D"/>
    <w:rsid w:val="47A23C1C"/>
    <w:rsid w:val="48384D06"/>
    <w:rsid w:val="49F033BE"/>
    <w:rsid w:val="4B4834DB"/>
    <w:rsid w:val="4BE8259F"/>
    <w:rsid w:val="4C422AF8"/>
    <w:rsid w:val="4C6065D9"/>
    <w:rsid w:val="4C8A7AFA"/>
    <w:rsid w:val="4CF65190"/>
    <w:rsid w:val="4E0A1BC5"/>
    <w:rsid w:val="4F244236"/>
    <w:rsid w:val="4F3B50DC"/>
    <w:rsid w:val="50642410"/>
    <w:rsid w:val="51575587"/>
    <w:rsid w:val="5212481A"/>
    <w:rsid w:val="52FF0B04"/>
    <w:rsid w:val="54813591"/>
    <w:rsid w:val="55142657"/>
    <w:rsid w:val="55314FB7"/>
    <w:rsid w:val="55F36710"/>
    <w:rsid w:val="568E01E7"/>
    <w:rsid w:val="58BB2B7F"/>
    <w:rsid w:val="58F00CE5"/>
    <w:rsid w:val="5A3C75BC"/>
    <w:rsid w:val="5A61103F"/>
    <w:rsid w:val="5ADA39FB"/>
    <w:rsid w:val="5C1B251D"/>
    <w:rsid w:val="5E8A79C7"/>
    <w:rsid w:val="5F973CED"/>
    <w:rsid w:val="5FA62A45"/>
    <w:rsid w:val="603851FF"/>
    <w:rsid w:val="60597AB8"/>
    <w:rsid w:val="610C3698"/>
    <w:rsid w:val="61273712"/>
    <w:rsid w:val="62A0377C"/>
    <w:rsid w:val="62B23ED3"/>
    <w:rsid w:val="62D41677"/>
    <w:rsid w:val="62F6339C"/>
    <w:rsid w:val="63414C35"/>
    <w:rsid w:val="647153D0"/>
    <w:rsid w:val="65CB7845"/>
    <w:rsid w:val="65D06126"/>
    <w:rsid w:val="65DA0D53"/>
    <w:rsid w:val="66860EDB"/>
    <w:rsid w:val="68CA3301"/>
    <w:rsid w:val="69E06B54"/>
    <w:rsid w:val="6AC5539F"/>
    <w:rsid w:val="6ACF2F07"/>
    <w:rsid w:val="6B6932A5"/>
    <w:rsid w:val="6BC56001"/>
    <w:rsid w:val="6BC95AF1"/>
    <w:rsid w:val="6CB322FE"/>
    <w:rsid w:val="6D9441D1"/>
    <w:rsid w:val="6F3306AB"/>
    <w:rsid w:val="6FDB5DF3"/>
    <w:rsid w:val="704C0A9F"/>
    <w:rsid w:val="70D50F65"/>
    <w:rsid w:val="70E60EF4"/>
    <w:rsid w:val="71341C5F"/>
    <w:rsid w:val="71F17B50"/>
    <w:rsid w:val="72D860D5"/>
    <w:rsid w:val="73373C88"/>
    <w:rsid w:val="737C4586"/>
    <w:rsid w:val="73CF2113"/>
    <w:rsid w:val="7556411F"/>
    <w:rsid w:val="761B7FEF"/>
    <w:rsid w:val="76342701"/>
    <w:rsid w:val="77660AA9"/>
    <w:rsid w:val="777D1E86"/>
    <w:rsid w:val="77AA3E81"/>
    <w:rsid w:val="78036643"/>
    <w:rsid w:val="78A05E2C"/>
    <w:rsid w:val="78FA19E0"/>
    <w:rsid w:val="7A7237F8"/>
    <w:rsid w:val="7B191EC6"/>
    <w:rsid w:val="7BB1524E"/>
    <w:rsid w:val="7C71661D"/>
    <w:rsid w:val="7C831CEC"/>
    <w:rsid w:val="7CF60FEA"/>
    <w:rsid w:val="7DDB3462"/>
    <w:rsid w:val="7E447259"/>
    <w:rsid w:val="7E521976"/>
    <w:rsid w:val="7FD4460D"/>
    <w:rsid w:val="D7FC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rPr>
  </w:style>
  <w:style w:type="character" w:styleId="7">
    <w:name w:val="Strong"/>
    <w:basedOn w:val="6"/>
    <w:qFormat/>
    <w:uiPriority w:val="22"/>
    <w:rPr>
      <w:b/>
    </w:rPr>
  </w:style>
  <w:style w:type="character" w:customStyle="1" w:styleId="8">
    <w:name w:val="页眉 Char"/>
    <w:basedOn w:val="6"/>
    <w:link w:val="3"/>
    <w:qFormat/>
    <w:uiPriority w:val="99"/>
    <w:rPr>
      <w:kern w:val="2"/>
      <w:sz w:val="18"/>
      <w:szCs w:val="18"/>
    </w:rPr>
  </w:style>
  <w:style w:type="character" w:customStyle="1" w:styleId="9">
    <w:name w:val="页脚 Char"/>
    <w:basedOn w:val="6"/>
    <w:link w:val="2"/>
    <w:qFormat/>
    <w:uiPriority w:val="99"/>
    <w:rPr>
      <w:kern w:val="2"/>
      <w:sz w:val="18"/>
      <w:szCs w:val="18"/>
    </w:rPr>
  </w:style>
  <w:style w:type="character" w:customStyle="1" w:styleId="10">
    <w:name w:val="fontstyle01"/>
    <w:basedOn w:val="6"/>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government</Company>
  <Pages>14</Pages>
  <Words>6651</Words>
  <Characters>7234</Characters>
  <Lines>77</Lines>
  <Paragraphs>21</Paragraphs>
  <TotalTime>1</TotalTime>
  <ScaleCrop>false</ScaleCrop>
  <LinksUpToDate>false</LinksUpToDate>
  <CharactersWithSpaces>7691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2022-08-05T09:20:00Z</dcterms:created>
  <dc:creator>tanwanzhen</dc:creator>
  <cp:lastModifiedBy>tongfang</cp:lastModifiedBy>
  <cp:lastPrinted>2023-03-21T09:03:00Z</cp:lastPrinted>
  <dcterms:modified xsi:type="dcterms:W3CDTF">2023-09-27T16:15:04Z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345CBF652A3A46ECAAE201DDBBB31A49</vt:lpwstr>
  </property>
</Properties>
</file>