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FFAA">
      <w:pPr>
        <w:spacing w:line="240" w:lineRule="auto"/>
        <w:ind w:right="0" w:firstLine="1747" w:firstLineChars="500"/>
        <w:jc w:val="left"/>
        <w:rPr>
          <w:rFonts w:hint="eastAsia" w:ascii="仿宋" w:hAnsi="仿宋" w:eastAsia="仿宋" w:cs="仿宋"/>
          <w:b/>
          <w:bCs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2023年度苏木溪瑶族乡人民政府</w:t>
      </w:r>
    </w:p>
    <w:p w14:paraId="393897C8">
      <w:pPr>
        <w:spacing w:line="240" w:lineRule="auto"/>
        <w:ind w:right="0" w:firstLine="2096" w:firstLineChars="60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部门整体</w:t>
      </w:r>
      <w:r>
        <w:rPr>
          <w:rFonts w:hint="eastAsia" w:ascii="仿宋" w:hAnsi="仿宋" w:eastAsia="仿宋" w:cs="仿宋"/>
          <w:b/>
          <w:bCs/>
          <w:spacing w:val="6"/>
          <w:sz w:val="36"/>
          <w:szCs w:val="36"/>
        </w:rPr>
        <w:t>支出</w:t>
      </w:r>
      <w:r>
        <w:rPr>
          <w:rFonts w:hint="eastAsia" w:ascii="仿宋" w:hAnsi="仿宋" w:eastAsia="仿宋" w:cs="仿宋"/>
          <w:b/>
          <w:bCs/>
          <w:spacing w:val="-16"/>
          <w:sz w:val="36"/>
          <w:szCs w:val="36"/>
        </w:rPr>
        <w:t>绩效自评报</w:t>
      </w:r>
      <w:r>
        <w:rPr>
          <w:rFonts w:hint="eastAsia" w:ascii="仿宋" w:hAnsi="仿宋" w:eastAsia="仿宋" w:cs="仿宋"/>
          <w:b/>
          <w:bCs/>
          <w:spacing w:val="-16"/>
          <w:sz w:val="36"/>
          <w:szCs w:val="36"/>
          <w:lang w:val="en-US" w:eastAsia="zh-CN"/>
        </w:rPr>
        <w:t>告</w:t>
      </w:r>
    </w:p>
    <w:p w14:paraId="598C47CB">
      <w:pPr>
        <w:spacing w:line="241" w:lineRule="auto"/>
        <w:rPr>
          <w:rFonts w:ascii="Arial"/>
          <w:sz w:val="21"/>
        </w:rPr>
      </w:pPr>
    </w:p>
    <w:p w14:paraId="4961D1D4">
      <w:pPr>
        <w:spacing w:line="241" w:lineRule="auto"/>
        <w:rPr>
          <w:rFonts w:ascii="Arial"/>
          <w:sz w:val="21"/>
        </w:rPr>
      </w:pPr>
    </w:p>
    <w:p w14:paraId="4C9E84B4">
      <w:pPr>
        <w:spacing w:line="241" w:lineRule="auto"/>
        <w:rPr>
          <w:rFonts w:ascii="Arial"/>
          <w:sz w:val="21"/>
        </w:rPr>
      </w:pPr>
    </w:p>
    <w:p w14:paraId="7014C376">
      <w:pPr>
        <w:spacing w:line="241" w:lineRule="auto"/>
        <w:rPr>
          <w:rFonts w:ascii="Arial"/>
          <w:sz w:val="21"/>
        </w:rPr>
      </w:pPr>
    </w:p>
    <w:p w14:paraId="6F044D1D">
      <w:pPr>
        <w:spacing w:line="241" w:lineRule="auto"/>
        <w:rPr>
          <w:rFonts w:ascii="Arial"/>
          <w:sz w:val="21"/>
        </w:rPr>
      </w:pPr>
    </w:p>
    <w:p w14:paraId="59FEA893">
      <w:pPr>
        <w:spacing w:line="241" w:lineRule="auto"/>
        <w:rPr>
          <w:rFonts w:ascii="Arial"/>
          <w:sz w:val="21"/>
        </w:rPr>
      </w:pPr>
    </w:p>
    <w:p w14:paraId="05344B8A">
      <w:pPr>
        <w:spacing w:line="241" w:lineRule="auto"/>
        <w:rPr>
          <w:rFonts w:ascii="Arial"/>
          <w:sz w:val="21"/>
        </w:rPr>
      </w:pPr>
    </w:p>
    <w:p w14:paraId="4053700C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7D404434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6645316D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697A69A7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4E3A6C79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7B321166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1A5AFD03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6D33182A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1E044362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7741B8B0">
      <w:pPr>
        <w:spacing w:line="241" w:lineRule="auto"/>
        <w:rPr>
          <w:rFonts w:hint="eastAsia" w:ascii="仿宋" w:hAnsi="仿宋" w:eastAsia="仿宋" w:cs="仿宋"/>
          <w:sz w:val="30"/>
          <w:szCs w:val="30"/>
        </w:rPr>
      </w:pPr>
    </w:p>
    <w:p w14:paraId="6AB5CC35">
      <w:pPr>
        <w:pStyle w:val="2"/>
        <w:spacing w:line="240" w:lineRule="auto"/>
        <w:ind w:right="0" w:firstLine="1038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3"/>
          <w:sz w:val="30"/>
          <w:szCs w:val="30"/>
        </w:rPr>
        <w:t>部门(单位)名称：</w:t>
      </w:r>
      <w:r>
        <w:rPr>
          <w:rFonts w:hint="eastAsia" w:ascii="仿宋" w:hAnsi="仿宋" w:eastAsia="仿宋" w:cs="仿宋"/>
          <w:spacing w:val="23"/>
          <w:sz w:val="30"/>
          <w:szCs w:val="30"/>
          <w:u w:val="single" w:color="auto"/>
        </w:rPr>
        <w:t>苏木溪瑶族乡人民政府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4759CB7A">
      <w:pPr>
        <w:pStyle w:val="2"/>
        <w:spacing w:line="240" w:lineRule="auto"/>
        <w:ind w:left="3321" w:leftChars="0" w:right="0" w:firstLine="0" w:firstLineChars="0"/>
        <w:rPr>
          <w:rFonts w:hint="eastAsia" w:ascii="仿宋" w:hAnsi="仿宋" w:eastAsia="仿宋" w:cs="仿宋"/>
          <w:sz w:val="30"/>
          <w:szCs w:val="30"/>
        </w:rPr>
        <w:sectPr>
          <w:headerReference r:id="rId5" w:type="default"/>
          <w:pgSz w:w="11900" w:h="8400"/>
          <w:pgMar w:top="1" w:right="774" w:bottom="0" w:left="1785" w:header="0" w:footer="0" w:gutter="0"/>
          <w:cols w:equalWidth="0" w:num="1">
            <w:col w:w="9341"/>
          </w:cols>
        </w:sectPr>
      </w:pPr>
      <w:r>
        <w:rPr>
          <w:rFonts w:hint="eastAsia" w:ascii="仿宋" w:hAnsi="仿宋" w:eastAsia="仿宋" w:cs="仿宋"/>
          <w:spacing w:val="22"/>
          <w:sz w:val="30"/>
          <w:szCs w:val="30"/>
        </w:rPr>
        <w:t>2024年4月17日</w:t>
      </w:r>
    </w:p>
    <w:p w14:paraId="5EBFE61E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26D45E84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448D35A9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7737053A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18DF8764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761ED187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7A58D133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75D4CD14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05D89E5A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55763173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5B7E93D0">
      <w:pPr>
        <w:spacing w:before="85" w:line="291" w:lineRule="auto"/>
        <w:ind w:left="2908" w:right="1935" w:hanging="1420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6761FFD8">
      <w:pPr>
        <w:spacing w:before="85" w:line="291" w:lineRule="auto"/>
        <w:ind w:right="1935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2FB2256D">
      <w:pPr>
        <w:spacing w:before="85" w:line="291" w:lineRule="auto"/>
        <w:ind w:left="2908" w:right="1935" w:hanging="1420"/>
        <w:jc w:val="center"/>
        <w:rPr>
          <w:rFonts w:ascii="黑体" w:hAnsi="黑体" w:eastAsia="黑体" w:cs="黑体"/>
          <w:b/>
          <w:bCs/>
          <w:spacing w:val="10"/>
          <w:sz w:val="26"/>
          <w:szCs w:val="26"/>
        </w:rPr>
      </w:pPr>
    </w:p>
    <w:p w14:paraId="26B91C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spacing w:val="1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10"/>
          <w:sz w:val="36"/>
          <w:szCs w:val="36"/>
        </w:rPr>
        <w:t>2023年度苏木溪瑶族乡人民政府部门</w:t>
      </w:r>
    </w:p>
    <w:p w14:paraId="77A979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10"/>
          <w:sz w:val="36"/>
          <w:szCs w:val="36"/>
        </w:rPr>
        <w:t>整体</w:t>
      </w:r>
      <w:r>
        <w:rPr>
          <w:rFonts w:hint="eastAsia" w:ascii="仿宋" w:hAnsi="仿宋" w:eastAsia="仿宋" w:cs="仿宋"/>
          <w:b/>
          <w:bCs/>
          <w:spacing w:val="15"/>
          <w:sz w:val="36"/>
          <w:szCs w:val="36"/>
        </w:rPr>
        <w:t>支出绩效自评报告</w:t>
      </w:r>
    </w:p>
    <w:p w14:paraId="755EF7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360" w:lineRule="auto"/>
        <w:ind w:left="3985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591441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8" w:firstLineChars="200"/>
        <w:jc w:val="left"/>
        <w:textAlignment w:val="baseline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sz w:val="30"/>
          <w:szCs w:val="30"/>
        </w:rPr>
        <w:t>一</w:t>
      </w:r>
      <w:r>
        <w:rPr>
          <w:rFonts w:hint="eastAsia"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4"/>
          <w:sz w:val="30"/>
          <w:szCs w:val="30"/>
        </w:rPr>
        <w:t>、部门基本情况</w:t>
      </w:r>
    </w:p>
    <w:p w14:paraId="3EC980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6" w:firstLineChars="200"/>
        <w:jc w:val="left"/>
        <w:textAlignment w:val="baseline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1"/>
          <w:sz w:val="30"/>
          <w:szCs w:val="30"/>
        </w:rPr>
        <w:t>(</w:t>
      </w:r>
      <w:r>
        <w:rPr>
          <w:rFonts w:hint="eastAsia"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11"/>
          <w:sz w:val="30"/>
          <w:szCs w:val="30"/>
        </w:rPr>
        <w:t>一)部门职能与机构设置</w:t>
      </w:r>
    </w:p>
    <w:p w14:paraId="35B7AC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辰溪县苏木溪瑶族乡人民政府基本职能：承担促进经济</w:t>
      </w:r>
      <w:r>
        <w:rPr>
          <w:rFonts w:hint="eastAsia"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发展、搞好公共服务、加强社会管理、维护社会稳定等综合</w:t>
      </w:r>
      <w:r>
        <w:rPr>
          <w:rFonts w:hint="eastAsia"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</w:rPr>
        <w:t>职能。具体职能如下：1、认真贡彻国家的方针政策、法律、</w:t>
      </w:r>
      <w:r>
        <w:rPr>
          <w:rFonts w:hint="eastAsia"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法规，严格遵循财经纪律和各项规章制度。2、执行本级人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民代表大会的决议和上级国家行政机关的决定和命令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。3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执行本行政区域内的经济和社会发展计划、预算，管理本行政区域内的经济、教育、科学、文化、卫健、体育事业和财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政、民政、司法行政等行政工作。4、保护社会主义的全民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所有的财产和劳动群众集体所有的财产，保护公民私人所有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的合法财产，维护社会秩序，保障公民的人身权利、民主权</w:t>
      </w:r>
      <w:r>
        <w:rPr>
          <w:rFonts w:hint="eastAsia"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利和其他权利-5、保护各种经济组织的合法权益。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6、办理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上级人民政府交办的其他事项</w:t>
      </w:r>
    </w:p>
    <w:p w14:paraId="57A770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机构设置情况：苏木溪瑶族乡人民政府属全额行政机关，</w:t>
      </w:r>
      <w:r>
        <w:rPr>
          <w:rFonts w:hint="eastAsia"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是一级部门预算单位，根据编制部门机构改革批复方案，内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设党政办公室、党建办公室、经济发展办公室、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社会事务办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公室、社会治安和应急管理办公室、自然资源和生态环境办公室、社会事务综合服务中心、农业综合服务中心、便民服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务中心、综合行政执法大队、财政所。</w:t>
      </w:r>
    </w:p>
    <w:p w14:paraId="2E7F6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6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6"/>
          <w:sz w:val="30"/>
          <w:szCs w:val="30"/>
        </w:rPr>
        <w:t>(二)人员惰况</w:t>
      </w:r>
    </w:p>
    <w:p w14:paraId="21A9C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8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3"/>
          <w:sz w:val="30"/>
          <w:szCs w:val="30"/>
        </w:rPr>
        <w:t>人员惰况：截至2023年底，苏木溪瑶族乡人民政府核</w:t>
      </w:r>
      <w:r>
        <w:rPr>
          <w:rFonts w:hint="eastAsia"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</w:rPr>
        <w:t>定人员编制41人，行政编制22人，事业编制</w:t>
      </w:r>
      <w:r>
        <w:rPr>
          <w:rFonts w:hint="eastAsia" w:ascii="仿宋" w:hAnsi="仿宋" w:eastAsia="仿宋" w:cs="仿宋"/>
          <w:spacing w:val="4"/>
          <w:sz w:val="30"/>
          <w:szCs w:val="30"/>
        </w:rPr>
        <w:t>19人；实际</w:t>
      </w:r>
      <w:r>
        <w:rPr>
          <w:rFonts w:hint="eastAsia" w:ascii="仿宋" w:hAnsi="仿宋" w:eastAsia="仿宋" w:cs="仿宋"/>
          <w:spacing w:val="9"/>
          <w:sz w:val="30"/>
          <w:szCs w:val="30"/>
        </w:rPr>
        <w:t>在编39人(行政编制20人，事业编制19人),</w:t>
      </w:r>
      <w:r>
        <w:rPr>
          <w:rFonts w:hint="eastAsia" w:ascii="仿宋" w:hAnsi="仿宋" w:eastAsia="仿宋" w:cs="仿宋"/>
          <w:spacing w:val="8"/>
          <w:sz w:val="30"/>
          <w:szCs w:val="30"/>
        </w:rPr>
        <w:t>财政实际供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给</w:t>
      </w:r>
      <w:r>
        <w:rPr>
          <w:rFonts w:hint="eastAsia"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42</w:t>
      </w:r>
      <w:r>
        <w:rPr>
          <w:rFonts w:hint="eastAsia"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。</w:t>
      </w:r>
    </w:p>
    <w:p w14:paraId="4B84B0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2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5"/>
          <w:sz w:val="30"/>
          <w:szCs w:val="30"/>
        </w:rPr>
        <w:t>(三)部门年度总体工作任务和重点工作任务</w:t>
      </w:r>
    </w:p>
    <w:p w14:paraId="08381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left"/>
        <w:textAlignment w:val="baseline"/>
        <w:rPr>
          <w:rFonts w:hint="eastAsia" w:ascii="仿宋" w:hAnsi="仿宋" w:eastAsia="仿宋" w:cs="仿宋"/>
          <w:spacing w:val="-12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总体工作任务为执行乡人民代表大会的决议和上级国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家行政机关的决定和命令；发展和管理本辖区的经济、救育、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科学、文化、卫生、体育事业和财政、民政、公安、司法行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政、计划生育等行政工作；维护社会秩序，确保社会稳定，</w:t>
      </w:r>
      <w:r>
        <w:rPr>
          <w:rFonts w:hint="eastAsia"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保障公民的人身权利、民主权利和其他权利.重点工作任务</w:t>
      </w:r>
      <w:r>
        <w:rPr>
          <w:rFonts w:hint="eastAsia"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为做好防灾减灾、优抚安置、低保、扶贫救济等社会救助工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作：开展疫情防控工作：乡村环境卫生整治工作等。</w:t>
      </w:r>
    </w:p>
    <w:p w14:paraId="3458A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t>、一般公共预算支出情况</w:t>
      </w:r>
    </w:p>
    <w:p w14:paraId="76926D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6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4"/>
          <w:sz w:val="30"/>
          <w:szCs w:val="30"/>
        </w:rPr>
        <w:t>(一)基本支出惜况</w:t>
      </w:r>
    </w:p>
    <w:p w14:paraId="393AF5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2023年一般公共预算支出合计729.38万元，其中：基本支出709.65万元，占97.3%:基本支出中工资福利支</w:t>
      </w:r>
      <w:r>
        <w:rPr>
          <w:rFonts w:hint="eastAsia"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出517.16万元，占比70.9%,商品和服</w:t>
      </w:r>
      <w:r>
        <w:rPr>
          <w:rFonts w:hint="eastAsia" w:ascii="仿宋" w:hAnsi="仿宋" w:eastAsia="仿宋" w:cs="仿宋"/>
          <w:spacing w:val="5"/>
          <w:sz w:val="30"/>
          <w:szCs w:val="30"/>
        </w:rPr>
        <w:t>务支出224.64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万元，占比30.8%:对个人和家庭的补助4.58万元，占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比0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.628%</w:t>
      </w:r>
      <w:r>
        <w:rPr>
          <w:rFonts w:hint="eastAsia"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.</w:t>
      </w:r>
    </w:p>
    <w:p w14:paraId="34F07B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2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5"/>
          <w:sz w:val="30"/>
          <w:szCs w:val="30"/>
        </w:rPr>
        <w:t>(二)项目支出惰况</w:t>
      </w:r>
    </w:p>
    <w:p w14:paraId="0D0E3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6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2023年一般公共预算支出合计729.38万元，其中项目</w:t>
      </w:r>
      <w:r>
        <w:rPr>
          <w:rFonts w:hint="eastAsia"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7"/>
          <w:sz w:val="30"/>
          <w:szCs w:val="30"/>
        </w:rPr>
        <w:t xml:space="preserve">支出57.4万元，占比7.87%;其中基础设施建设支出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57.4万元，占项目支出100%;内涵农村改厕项目37.64</w:t>
      </w:r>
      <w:r>
        <w:rPr>
          <w:rFonts w:hint="eastAsia"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万元、政府公租房项目19.73万元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。</w:t>
      </w:r>
    </w:p>
    <w:p w14:paraId="2149B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0"/>
          <w:sz w:val="30"/>
          <w:szCs w:val="30"/>
        </w:rPr>
        <w:t>三、政府性基金预算支出情况</w:t>
      </w:r>
    </w:p>
    <w:p w14:paraId="416A2E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6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2023年政府性基金拨款0万元，拆迁和征地补偿支出0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万元，维修支出0万元。</w:t>
      </w:r>
      <w:r>
        <w:rPr>
          <w:rFonts w:hint="eastAsia" w:ascii="仿宋" w:hAnsi="仿宋" w:eastAsia="仿宋" w:cs="仿宋"/>
          <w:spacing w:val="-80"/>
          <w:sz w:val="30"/>
          <w:szCs w:val="30"/>
        </w:rPr>
        <w:t xml:space="preserve"> </w:t>
      </w:r>
    </w:p>
    <w:p w14:paraId="42F3EB6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国有资本经营预算支出情况</w:t>
      </w:r>
      <w:r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  <w:t>、</w:t>
      </w:r>
    </w:p>
    <w:p w14:paraId="76DC48C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无</w:t>
      </w:r>
    </w:p>
    <w:p w14:paraId="2BBDC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8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1"/>
          <w:sz w:val="30"/>
          <w:szCs w:val="30"/>
        </w:rPr>
        <w:t>五、社会保险基金预算支出情况</w:t>
      </w:r>
    </w:p>
    <w:p w14:paraId="280F9A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无</w:t>
      </w:r>
    </w:p>
    <w:p w14:paraId="185E89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0"/>
          <w:sz w:val="30"/>
          <w:szCs w:val="30"/>
        </w:rPr>
        <w:t>六、部门整体支出绩效情况</w:t>
      </w:r>
    </w:p>
    <w:p w14:paraId="784DF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0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2"/>
          <w:sz w:val="30"/>
          <w:szCs w:val="30"/>
        </w:rPr>
        <w:t>(一)投入惰况分析</w:t>
      </w:r>
    </w:p>
    <w:p w14:paraId="65D62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2023</w:t>
      </w:r>
      <w:r>
        <w:rPr>
          <w:rFonts w:hint="eastAsia"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9"/>
          <w:sz w:val="30"/>
          <w:szCs w:val="30"/>
        </w:rPr>
        <w:t>年全年预算收入803.76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9"/>
          <w:sz w:val="30"/>
          <w:szCs w:val="30"/>
        </w:rPr>
        <w:t>万元，一</w:t>
      </w:r>
      <w:r>
        <w:rPr>
          <w:rFonts w:hint="eastAsia" w:ascii="仿宋" w:hAnsi="仿宋" w:eastAsia="仿宋" w:cs="仿宋"/>
          <w:spacing w:val="8"/>
          <w:sz w:val="30"/>
          <w:szCs w:val="30"/>
        </w:rPr>
        <w:t>般公共预算</w:t>
      </w:r>
      <w:r>
        <w:rPr>
          <w:rFonts w:hint="eastAsia" w:ascii="仿宋" w:hAnsi="仿宋" w:eastAsia="仿宋" w:cs="仿宋"/>
          <w:spacing w:val="5"/>
          <w:sz w:val="30"/>
          <w:szCs w:val="30"/>
        </w:rPr>
        <w:t>729.38万元，占比90.75%;政府性基金拨款0万元，</w:t>
      </w:r>
      <w:r>
        <w:rPr>
          <w:rFonts w:hint="eastAsia" w:ascii="仿宋" w:hAnsi="仿宋" w:eastAsia="仿宋" w:cs="仿宋"/>
          <w:spacing w:val="4"/>
          <w:sz w:val="30"/>
          <w:szCs w:val="30"/>
        </w:rPr>
        <w:t>占比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0%;其他收入74.38万元，占比9.25%-全年预算收入较上</w:t>
      </w:r>
      <w:r>
        <w:rPr>
          <w:rFonts w:hint="eastAsia" w:ascii="仿宋" w:hAnsi="仿宋" w:eastAsia="仿宋" w:cs="仿宋"/>
          <w:sz w:val="30"/>
          <w:szCs w:val="30"/>
        </w:rPr>
        <w:t>年增加142.04万元，原因在于财政制度改革，一收一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支，</w:t>
      </w:r>
      <w:r>
        <w:rPr>
          <w:rFonts w:hint="eastAsia" w:ascii="仿宋" w:hAnsi="仿宋" w:eastAsia="仿宋" w:cs="仿宋"/>
          <w:spacing w:val="1"/>
          <w:sz w:val="30"/>
          <w:szCs w:val="30"/>
        </w:rPr>
        <w:t>上年年初动用财政零余颤制度。</w:t>
      </w:r>
    </w:p>
    <w:p w14:paraId="6D8D39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0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7"/>
          <w:sz w:val="30"/>
          <w:szCs w:val="30"/>
        </w:rPr>
        <w:t>(二)执行管理惰况分析</w:t>
      </w:r>
    </w:p>
    <w:p w14:paraId="518C10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我镇及时组织财务人员进行预决算的编制，按时完成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2023年预算编制及公开，对本年度相应用款进行及时清理和处理，做到账账相符、账实相符、账证相符，按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先有预算再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支出的原则，及时处理相关事务；对年度绩效目标进行季度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梳理和年度分析，及时上报相关报表；对专项预算提前细化，</w:t>
      </w:r>
      <w:r>
        <w:rPr>
          <w:rFonts w:hint="eastAsia"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分科目上报，做到收支平衡。</w:t>
      </w:r>
    </w:p>
    <w:p w14:paraId="6B06F9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2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5"/>
          <w:sz w:val="30"/>
          <w:szCs w:val="30"/>
        </w:rPr>
        <w:t>(三)支出绩效惰况分析</w:t>
      </w:r>
    </w:p>
    <w:p w14:paraId="04B4C3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4"/>
          <w:sz w:val="30"/>
          <w:szCs w:val="30"/>
        </w:rPr>
        <w:t>2023年决算支出为803.76万元，执行率为100%</w:t>
      </w:r>
      <w:r>
        <w:rPr>
          <w:rFonts w:hint="eastAsia" w:ascii="仿宋" w:hAnsi="仿宋" w:eastAsia="仿宋" w:cs="仿宋"/>
          <w:spacing w:val="3"/>
          <w:sz w:val="30"/>
          <w:szCs w:val="30"/>
        </w:rPr>
        <w:t>。2023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sz w:val="30"/>
          <w:szCs w:val="30"/>
        </w:rPr>
        <w:t>年决算数较2022年有所上升，主要在公用经费及项</w:t>
      </w:r>
      <w:r>
        <w:rPr>
          <w:rFonts w:hint="eastAsia" w:ascii="仿宋" w:hAnsi="仿宋" w:eastAsia="仿宋" w:cs="仿宋"/>
          <w:spacing w:val="3"/>
          <w:sz w:val="30"/>
          <w:szCs w:val="30"/>
        </w:rPr>
        <w:t>目类支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出有所增加，用于项目建设导致经费增加，人员的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变动调整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也导致人员工资类经费有所增加。2023年人居环境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、乡村振兴、农村基础设施建设、防火防汛等工作都圆满完成，群众</w:t>
      </w:r>
      <w:r>
        <w:rPr>
          <w:rFonts w:hint="eastAsia" w:ascii="仿宋" w:hAnsi="仿宋" w:eastAsia="仿宋" w:cs="仿宋"/>
          <w:spacing w:val="34"/>
          <w:sz w:val="30"/>
          <w:szCs w:val="30"/>
        </w:rPr>
        <w:t>满意度</w:t>
      </w:r>
      <w:r>
        <w:rPr>
          <w:rFonts w:hint="eastAsia" w:cs="仿宋"/>
          <w:spacing w:val="34"/>
          <w:sz w:val="30"/>
          <w:szCs w:val="30"/>
          <w:lang w:val="en-US" w:eastAsia="zh-CN"/>
        </w:rPr>
        <w:t>较</w:t>
      </w:r>
      <w:r>
        <w:rPr>
          <w:rFonts w:hint="eastAsia" w:ascii="仿宋" w:hAnsi="仿宋" w:eastAsia="仿宋" w:cs="仿宋"/>
          <w:spacing w:val="34"/>
          <w:sz w:val="30"/>
          <w:szCs w:val="30"/>
        </w:rPr>
        <w:t>高</w:t>
      </w:r>
      <w:r>
        <w:rPr>
          <w:rFonts w:hint="eastAsia"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4"/>
          <w:sz w:val="30"/>
          <w:szCs w:val="30"/>
        </w:rPr>
        <w:t>。</w:t>
      </w:r>
    </w:p>
    <w:p w14:paraId="240B1E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8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24"/>
          <w:sz w:val="30"/>
          <w:szCs w:val="30"/>
        </w:rPr>
        <w:t>(</w:t>
      </w:r>
      <w:r>
        <w:rPr>
          <w:rFonts w:hint="eastAsia" w:cs="仿宋"/>
          <w:b/>
          <w:bCs/>
          <w:spacing w:val="24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24"/>
          <w:sz w:val="30"/>
          <w:szCs w:val="30"/>
        </w:rPr>
        <w:t>)资产管理惰况</w:t>
      </w:r>
    </w:p>
    <w:p w14:paraId="107154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我镇严格按照《资产管理制度》,明确了资产配置</w:t>
      </w:r>
      <w:r>
        <w:rPr>
          <w:rFonts w:hint="eastAsia" w:ascii="仿宋" w:hAnsi="仿宋" w:eastAsia="仿宋" w:cs="仿宋"/>
          <w:sz w:val="30"/>
          <w:szCs w:val="30"/>
        </w:rPr>
        <w:t xml:space="preserve">、资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产采购、资产使用、资产调配、资产报废等各环节的流程及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审批权限，并严格按服制度执行，以确保固定资产配置合理、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采购合规、使用高效、管理规范。一是指定由专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人负责资产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管理工作：二是共享共用，盘活存量资产。对打印机、传真机等均做到了共享共用：对于已达报废年限、尚可使用的资</w:t>
      </w:r>
      <w:r>
        <w:rPr>
          <w:rFonts w:hint="eastAsia"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产，坚持能用则用的原则，最大程度发挥资产使用效益；三</w:t>
      </w:r>
      <w:r>
        <w:rPr>
          <w:rFonts w:hint="eastAsia"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是合理配置、采购有序。我镇严格按照财政资产配置相关标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准并结合单位资产使用惰况</w:t>
      </w:r>
      <w:r>
        <w:rPr>
          <w:rFonts w:hint="eastAsia" w:cs="仿宋"/>
          <w:spacing w:val="-8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申抵采购。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截止2023年年末，苏木溪瑶族乡国有资产491.05万元</w:t>
      </w:r>
      <w:r>
        <w:rPr>
          <w:rFonts w:hint="eastAsia" w:cs="仿宋"/>
          <w:spacing w:val="-1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占资产总额100%。固定资产总额491.05万元，土地、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房屋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sz w:val="30"/>
          <w:szCs w:val="30"/>
        </w:rPr>
        <w:t>及建筑物183.83万元，占比49.59%;设备3.4万元，占比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0.92%;家具、用具2万元，占比0.54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%。</w:t>
      </w:r>
    </w:p>
    <w:p w14:paraId="09CE5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3"/>
          <w:sz w:val="30"/>
          <w:szCs w:val="30"/>
        </w:rPr>
        <w:t>七、存在的问题及原因分析</w:t>
      </w:r>
    </w:p>
    <w:p w14:paraId="2FC6D5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1.部门绩效目标设置不够完</w:t>
      </w:r>
      <w:r>
        <w:rPr>
          <w:rFonts w:hint="eastAsia" w:cs="仿宋"/>
          <w:spacing w:val="-11"/>
          <w:sz w:val="30"/>
          <w:szCs w:val="30"/>
          <w:lang w:val="en-US" w:eastAsia="zh-CN"/>
        </w:rPr>
        <w:t>全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。</w:t>
      </w:r>
    </w:p>
    <w:p w14:paraId="27E273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9"/>
          <w:sz w:val="30"/>
          <w:szCs w:val="30"/>
        </w:rPr>
        <w:t>2.预算编制不够扎实。在预算执行过程中调整变动较大，</w:t>
      </w:r>
      <w:r>
        <w:rPr>
          <w:rFonts w:hint="eastAsia"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客观存在实际支出与年初预算发生偏差。</w:t>
      </w:r>
    </w:p>
    <w:p w14:paraId="186F4D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</w:rPr>
        <w:t>3、部分款项支付不及时。</w:t>
      </w:r>
    </w:p>
    <w:p w14:paraId="0DEDA3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4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3"/>
          <w:sz w:val="30"/>
          <w:szCs w:val="30"/>
        </w:rPr>
        <w:t>八、下一步改进措施</w:t>
      </w:r>
    </w:p>
    <w:p w14:paraId="231C9A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8"/>
          <w:sz w:val="30"/>
          <w:szCs w:val="30"/>
        </w:rPr>
        <w:t>1.进一步规范绩效目标编制。在编制绩效目标时，要求</w:t>
      </w:r>
      <w:r>
        <w:rPr>
          <w:rFonts w:hint="eastAsia"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9"/>
          <w:sz w:val="30"/>
          <w:szCs w:val="30"/>
        </w:rPr>
        <w:t>指向明确，细化量化、合理可行。进一步加强单位内部机构</w:t>
      </w:r>
      <w:r>
        <w:rPr>
          <w:rFonts w:hint="eastAsia"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9"/>
          <w:sz w:val="30"/>
          <w:szCs w:val="30"/>
        </w:rPr>
        <w:t>各部门的预算管理意识，严格按照预算编制的相关制度和要</w:t>
      </w:r>
      <w:r>
        <w:rPr>
          <w:rFonts w:hint="eastAsia"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sz w:val="30"/>
          <w:szCs w:val="30"/>
        </w:rPr>
        <w:t>求进行预算编制。</w:t>
      </w:r>
    </w:p>
    <w:p w14:paraId="10B727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8"/>
          <w:sz w:val="30"/>
          <w:szCs w:val="30"/>
        </w:rPr>
        <w:t>2.加快预算执行力度，强化预算约束。增强预算的刚性</w:t>
      </w:r>
      <w:r>
        <w:rPr>
          <w:rFonts w:hint="eastAsia"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约束，严格做到“无预算不支出”,强化预算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对执行的控制。</w:t>
      </w:r>
    </w:p>
    <w:p w14:paraId="29498F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5"/>
          <w:sz w:val="30"/>
          <w:szCs w:val="30"/>
        </w:rPr>
        <w:t>3.加强财务管理，严格财务审核。加强单位财务管理，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健全单位财务管理制度体系，规范单位财务行为。在费用报</w:t>
      </w:r>
      <w:r>
        <w:rPr>
          <w:rFonts w:hint="eastAsia"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账支付时，按照预算规定的费用项目和用遮进行资金使用审</w:t>
      </w:r>
      <w:r>
        <w:rPr>
          <w:rFonts w:hint="eastAsia"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核、列抵支付、财务核算，杜绝超支现象的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发生。</w:t>
      </w:r>
    </w:p>
    <w:p w14:paraId="265AC6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jc w:val="left"/>
        <w:textAlignment w:val="baseline"/>
        <w:outlineLvl w:val="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</w:rPr>
        <w:t>九、部门整体支出绩效自评结果拟应用和公开情况</w:t>
      </w:r>
    </w:p>
    <w:p w14:paraId="676430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0"/>
          <w:szCs w:val="30"/>
        </w:rPr>
        <w:t>我镇将于公开2023年决算苏木溪瑶族乡人民政府决算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抵告时同步在苏木溪瑶族乡门户网站上全文公开部门整体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支出绩效自评抵告，接受社会公众监督。通过开展绩效自评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工作，一方面提高我镇工作人员的绩效管理意识，对自评过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程中发现的间题及时督促各部门加以整改，巩固绩效成果</w:t>
      </w:r>
      <w:r>
        <w:rPr>
          <w:rFonts w:hint="eastAsia" w:cs="仿宋"/>
          <w:spacing w:val="-15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>另一方面充分发挥绩效评价体系作用，做到绩效有目标，过</w:t>
      </w:r>
      <w:r>
        <w:rPr>
          <w:rFonts w:hint="eastAsia"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程有监督，绩效有评价，评价有反馈，反馈有应用。</w:t>
      </w:r>
    </w:p>
    <w:p w14:paraId="6433C4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172720</wp:posOffset>
                </wp:positionV>
                <wp:extent cx="123190" cy="2235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C6A5C">
                            <w:pPr>
                              <w:spacing w:before="20" w:line="196" w:lineRule="auto"/>
                              <w:ind w:left="20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5"/>
                                <w:sz w:val="14"/>
                                <w:szCs w:val="14"/>
                              </w:rPr>
                              <w:t>工卜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4pt;margin-top:13.6pt;height:17.6pt;width:9.7pt;z-index:251659264;mso-width-relative:page;mso-height-relative:page;" filled="f" stroked="f" coordsize="21600,21600" o:gfxdata="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3PtIQdYAAAAJAQAADwAAAAAAAAABACAAAAAiAAAAZHJzL2Rvd25yZXYueG1s&#10;UEsBAhQAFAAAAAgAh07iQEN7HqfBAQAAfw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2B3C6A5C">
                      <w:pPr>
                        <w:spacing w:before="20" w:line="196" w:lineRule="auto"/>
                        <w:ind w:left="20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spacing w:val="15"/>
                          <w:sz w:val="14"/>
                          <w:szCs w:val="14"/>
                        </w:rPr>
                        <w:t>工卜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6"/>
          <w:sz w:val="30"/>
          <w:szCs w:val="30"/>
        </w:rPr>
        <w:t>十，其他需要说明的情况</w:t>
      </w:r>
    </w:p>
    <w:p w14:paraId="4E6E58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无</w:t>
      </w:r>
    </w:p>
    <w:p w14:paraId="276DC8C4">
      <w:pPr>
        <w:spacing w:line="240" w:lineRule="auto"/>
        <w:ind w:left="0" w:right="0" w:firstLine="0"/>
        <w:jc w:val="left"/>
        <w:rPr>
          <w:rFonts w:ascii="Arial"/>
          <w:sz w:val="21"/>
        </w:rPr>
      </w:pPr>
    </w:p>
    <w:p w14:paraId="00C8C710">
      <w:pPr>
        <w:spacing w:line="240" w:lineRule="auto"/>
        <w:ind w:left="0" w:right="0" w:firstLine="0"/>
        <w:jc w:val="left"/>
      </w:pPr>
      <w:r>
        <w:rPr>
          <w:position w:val="-2"/>
        </w:rPr>
        <w:drawing>
          <wp:inline distT="0" distB="0" distL="0" distR="0">
            <wp:extent cx="88265" cy="88900"/>
            <wp:effectExtent l="0" t="0" r="6985" b="635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64" cy="8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7C2B0">
      <w:pPr>
        <w:tabs>
          <w:tab w:val="left" w:pos="1240"/>
        </w:tabs>
        <w:spacing w:line="240" w:lineRule="auto"/>
        <w:ind w:left="0" w:right="0" w:firstLine="0"/>
        <w:jc w:val="right"/>
        <w:rPr>
          <w:spacing w:val="6"/>
          <w:sz w:val="25"/>
          <w:szCs w:val="25"/>
        </w:rPr>
      </w:pPr>
      <w:r>
        <w:rPr>
          <w:spacing w:val="-9"/>
          <w:sz w:val="25"/>
          <w:szCs w:val="25"/>
        </w:rPr>
        <w:t>展溪县苏木溪瑶族乡人民政府</w:t>
      </w:r>
    </w:p>
    <w:p w14:paraId="32965586">
      <w:pPr>
        <w:tabs>
          <w:tab w:val="left" w:pos="1240"/>
        </w:tabs>
        <w:spacing w:line="240" w:lineRule="auto"/>
        <w:ind w:left="0" w:right="0" w:firstLine="0"/>
        <w:jc w:val="center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0"/>
          <w:sz w:val="25"/>
          <w:szCs w:val="25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pacing w:val="20"/>
          <w:sz w:val="25"/>
          <w:szCs w:val="25"/>
        </w:rPr>
        <w:t>2024年4月17日</w:t>
      </w:r>
    </w:p>
    <w:p w14:paraId="0D555A3A">
      <w:pPr>
        <w:pStyle w:val="2"/>
        <w:spacing w:before="38" w:line="313" w:lineRule="auto"/>
        <w:ind w:left="340" w:right="430"/>
        <w:jc w:val="both"/>
        <w:rPr>
          <w:spacing w:val="-12"/>
          <w:sz w:val="24"/>
          <w:szCs w:val="24"/>
        </w:rPr>
      </w:pPr>
    </w:p>
    <w:p w14:paraId="248E3B20">
      <w:pPr>
        <w:pStyle w:val="2"/>
        <w:spacing w:before="239" w:line="376" w:lineRule="auto"/>
        <w:ind w:left="1334" w:right="1820" w:firstLine="420"/>
        <w:rPr>
          <w:sz w:val="19"/>
          <w:szCs w:val="19"/>
        </w:rPr>
      </w:pPr>
    </w:p>
    <w:p w14:paraId="12F5A159">
      <w:pPr>
        <w:spacing w:line="315" w:lineRule="auto"/>
        <w:rPr>
          <w:rFonts w:ascii="Arial"/>
          <w:sz w:val="21"/>
        </w:rPr>
      </w:pPr>
    </w:p>
    <w:p w14:paraId="6FE9FA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245D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0A900"/>
    <w:multiLevelType w:val="singleLevel"/>
    <w:tmpl w:val="99B0A9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jE0Njc3MGIxYTQwNTZiNzY0NGVkNDg5Yzc1ODMifQ=="/>
  </w:docVars>
  <w:rsids>
    <w:rsidRoot w:val="7D4F06E8"/>
    <w:rsid w:val="756E7726"/>
    <w:rsid w:val="7D4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2337</Words>
  <Characters>2546</Characters>
  <Lines>0</Lines>
  <Paragraphs>0</Paragraphs>
  <TotalTime>10</TotalTime>
  <ScaleCrop>false</ScaleCrop>
  <LinksUpToDate>false</LinksUpToDate>
  <CharactersWithSpaces>2629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2024-10-23T03:13:00Z</dcterms:created>
  <dc:creator>Me</dc:creator>
  <cp:lastModifiedBy>86135</cp:lastModifiedBy>
  <dcterms:modified xsi:type="dcterms:W3CDTF">2024-11-04T09:49:15Z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0D767AA9C39448BDA995F332039D4ADB_13</vt:lpwstr>
  </property>
</Properties>
</file>