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20" w:afterLines="5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widowControl/>
        <w:spacing w:after="120" w:afterLines="50"/>
        <w:jc w:val="center"/>
        <w:rPr>
          <w:rFonts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sz w:val="36"/>
          <w:szCs w:val="36"/>
        </w:rPr>
        <w:t>部门整体支出绩效自评表</w:t>
      </w:r>
    </w:p>
    <w:tbl>
      <w:tblPr>
        <w:tblStyle w:val="2"/>
        <w:tblW w:w="10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953"/>
        <w:gridCol w:w="1256"/>
        <w:gridCol w:w="95"/>
        <w:gridCol w:w="1311"/>
        <w:gridCol w:w="1269"/>
        <w:gridCol w:w="716"/>
        <w:gridCol w:w="881"/>
        <w:gridCol w:w="14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市直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预算部门名称</w:t>
            </w:r>
          </w:p>
        </w:tc>
        <w:tc>
          <w:tcPr>
            <w:tcW w:w="89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辰溪县苏木溪瑶族乡人民政府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算申请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年初预算数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全年预算数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全年执行数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分值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执行率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515.96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784.65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784.65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152%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按收入性质分：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784.65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按支出性质分：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784.65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  其中：  一般公共预算：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784.65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其中：基本支出：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739.15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800" w:firstLineChars="400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政府性基金拨款：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项目支出：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纳入专户管理的非税收入拨款：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400" w:firstLineChars="700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其他资金：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预期目标：</w:t>
            </w:r>
          </w:p>
          <w:p>
            <w:pPr>
              <w:widowControl/>
              <w:shd w:val="clear" w:color="auto" w:fill="FFFFFF"/>
              <w:rPr>
                <w:rFonts w:hint="eastAsia" w:ascii="宋体" w:hAnsi="宋体" w:cs="宋体"/>
                <w:color w:val="3D3D3D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目标1：贯彻执行规划建设，基础设施建设，稳定和完善农村基本经营管理，全面实施乡政府各项决策部署，确保各项工作目标任务圆满完成。</w:t>
            </w:r>
          </w:p>
          <w:p>
            <w:pPr>
              <w:widowControl/>
              <w:shd w:val="clear" w:color="auto" w:fill="FFFFFF"/>
              <w:rPr>
                <w:rFonts w:hint="eastAsia" w:ascii="宋体" w:hAnsi="宋体" w:cs="宋体"/>
                <w:color w:val="3D3D3D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目标2：计划完成三公经费支出预算金额的100% </w:t>
            </w:r>
          </w:p>
          <w:p>
            <w:pPr>
              <w:widowControl/>
              <w:shd w:val="clear" w:color="auto" w:fill="FFFFFF"/>
              <w:rPr>
                <w:rFonts w:hint="eastAsia" w:ascii="宋体" w:hAnsi="宋体" w:cs="宋体"/>
                <w:color w:val="3D3D3D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目标3： 严格把控财政资金的用途  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目标4：计划完成基本支出预算金额的100% 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　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实际完成情况：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color w:val="3D3D3D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1、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shd w:val="clear" w:color="auto" w:fill="FFFFFF"/>
                <w:lang w:bidi="ar"/>
              </w:rPr>
              <w:t>实现了乡政府正常运转，各职能部门正常履职，对负责的社会事务加强管理，确保了各项决策部署全面落实，以实现全乡和谐发展、社会稳定。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color w:val="3D3D3D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shd w:val="clear" w:color="auto" w:fill="FFFFFF"/>
                <w:lang w:bidi="ar"/>
              </w:rPr>
              <w:t>2、按计划完成三公经费支出预算达100%。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color w:val="3D3D3D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shd w:val="clear" w:color="auto" w:fill="FFFFFF"/>
                <w:lang w:bidi="ar"/>
              </w:rPr>
              <w:t>3、按照财政资金使用用途和目的，健全了资金管理制度，认真执行年初预算资金计划，账务核算及时规范。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shd w:val="clear" w:color="auto" w:fill="FFFFFF"/>
                <w:lang w:bidi="ar"/>
              </w:rPr>
              <w:t>4、按计划完成基本支出预算金额达100%。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实际完成值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财政供养人员控制率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三公经费控制率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87%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政府采购执行率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固定资产利用率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96%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全年三公经费预算完成率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87%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全年基本支出不超过预算数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效益指标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（30分）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经济效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提高服务群众效率，加快农村经济发展，提高就业率，切实增加群众收入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社会效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保障基层社会民生，方便群众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生态效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完善乡镇环保基础设施建设，提升农村人居环境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群众生活质量提高，幸福指数提高，基层工作高质量发展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ascii="Times New Roman" w:hAnsi="Times New Roman" w:eastAsia="仿宋_GB2312" w:cs="Times New Roman"/>
          <w:sz w:val="22"/>
          <w:szCs w:val="22"/>
        </w:rPr>
      </w:pPr>
      <w:r>
        <w:rPr>
          <w:rFonts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余源</w:t>
      </w:r>
      <w:r>
        <w:rPr>
          <w:rFonts w:ascii="Times New Roman" w:hAnsi="Times New Roman" w:eastAsia="仿宋_GB2312" w:cs="Times New Roman"/>
          <w:sz w:val="22"/>
          <w:szCs w:val="22"/>
        </w:rPr>
        <w:t xml:space="preserve">    填报日期：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2023.3.15</w:t>
      </w:r>
      <w:r>
        <w:rPr>
          <w:rFonts w:ascii="Times New Roman" w:hAnsi="Times New Roman" w:eastAsia="仿宋_GB2312" w:cs="Times New Roman"/>
          <w:sz w:val="22"/>
          <w:szCs w:val="22"/>
        </w:rPr>
        <w:t xml:space="preserve">    联系电话：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15717455167</w:t>
      </w:r>
      <w:r>
        <w:rPr>
          <w:rFonts w:ascii="Times New Roman" w:hAnsi="Times New Roman" w:eastAsia="仿宋_GB2312" w:cs="Times New Roman"/>
          <w:sz w:val="22"/>
          <w:szCs w:val="22"/>
        </w:rPr>
        <w:t xml:space="preserve">  单位负责人签字：</w:t>
      </w:r>
    </w:p>
    <w:p>
      <w:pPr>
        <w:rPr>
          <w:rFonts w:ascii="Times New Roman" w:hAnsi="Times New Roman" w:eastAsia="仿宋_GB2312" w:cs="Times New Roman"/>
          <w:sz w:val="22"/>
          <w:szCs w:val="22"/>
        </w:rPr>
      </w:pPr>
    </w:p>
    <w:p>
      <w:pPr>
        <w:rPr>
          <w:rFonts w:hint="eastAsia" w:ascii="Times New Roman" w:hAnsi="Times New Roman" w:eastAsia="仿宋_GB2312" w:cs="Times New Roman"/>
          <w:color w:val="FF0000"/>
          <w:sz w:val="2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FF0000"/>
          <w:sz w:val="22"/>
          <w:szCs w:val="22"/>
          <w:lang w:val="en-US" w:eastAsia="zh-CN"/>
        </w:rPr>
        <w:t>公共基础分90分+个性表10分*实得/100=总分数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OGQ5YzIxZmFkMzk3OTQ2NGFmNDBlZDMzZmIxMGMifQ=="/>
  </w:docVars>
  <w:rsids>
    <w:rsidRoot w:val="00000000"/>
    <w:rsid w:val="080A635A"/>
    <w:rsid w:val="13A050FC"/>
    <w:rsid w:val="1C135FE7"/>
    <w:rsid w:val="20382AD7"/>
    <w:rsid w:val="408765E0"/>
    <w:rsid w:val="42911A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332</Characters>
  <Lines>0</Lines>
  <Paragraphs>0</Paragraphs>
  <TotalTime>2</TotalTime>
  <ScaleCrop>false</ScaleCrop>
  <LinksUpToDate>false</LinksUpToDate>
  <CharactersWithSpaces>499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听</cp:lastModifiedBy>
  <cp:lastPrinted>2022-04-13T00:50:04Z</cp:lastPrinted>
  <dcterms:modified xsi:type="dcterms:W3CDTF">2023-10-07T09:48:04Z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796FFE467ECA4DD1B0ED3C1CE7491CAF_13</vt:lpwstr>
  </property>
</Properties>
</file>