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r>
        <w:rPr>
          <w:rFonts w:hint="eastAsia" w:eastAsia="黑体"/>
          <w:sz w:val="32"/>
          <w:szCs w:val="32"/>
        </w:rPr>
        <w:t>附件</w:t>
      </w:r>
      <w:r>
        <w:rPr>
          <w:rFonts w:eastAsia="黑体"/>
          <w:sz w:val="32"/>
          <w:szCs w:val="32"/>
        </w:rPr>
        <w:t>1</w:t>
      </w:r>
    </w:p>
    <w:p>
      <w:pPr>
        <w:spacing w:beforeLines="50" w:afterLines="50"/>
        <w:jc w:val="center"/>
        <w:rPr>
          <w:rFonts w:eastAsia="方正小标宋_GBK"/>
          <w:bCs/>
          <w:sz w:val="36"/>
          <w:szCs w:val="36"/>
        </w:rPr>
      </w:pPr>
      <w:r>
        <w:rPr>
          <w:rFonts w:hint="eastAsia" w:eastAsia="方正小标宋_GBK"/>
          <w:bCs/>
          <w:sz w:val="36"/>
          <w:szCs w:val="36"/>
        </w:rPr>
        <w:t>部门整体支出绩效评价共性指标</w:t>
      </w:r>
    </w:p>
    <w:tbl>
      <w:tblPr>
        <w:tblStyle w:val="4"/>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目标</w:t>
            </w:r>
            <w:r>
              <w:rPr>
                <w:rFonts w:ascii="仿宋_GB2312" w:eastAsia="仿宋_GB2312"/>
                <w:szCs w:val="21"/>
              </w:rPr>
              <w:br w:type="textWrapping"/>
            </w: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在职人员数：部门实际在职人数，以财政部确定的部门决算编制口径为准。</w:t>
            </w:r>
            <w:r>
              <w:rPr>
                <w:rFonts w:ascii="仿宋_GB2312" w:eastAsia="仿宋_GB2312"/>
                <w:szCs w:val="21"/>
              </w:rPr>
              <w:br w:type="textWrapping"/>
            </w: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ascii="仿宋_GB2312" w:eastAsia="仿宋_GB2312"/>
                <w:szCs w:val="21"/>
              </w:rPr>
              <w:t>5</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r>
              <w:rPr>
                <w:rFonts w:ascii="仿宋_GB2312" w:eastAsia="仿宋_GB2312"/>
                <w:szCs w:val="21"/>
              </w:rPr>
              <w:br w:type="textWrapping"/>
            </w: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预算执行数：部门本年度实际完成的预算数。</w:t>
            </w:r>
            <w:r>
              <w:rPr>
                <w:rFonts w:ascii="仿宋_GB2312" w:eastAsia="仿宋_GB2312"/>
                <w:szCs w:val="21"/>
              </w:rPr>
              <w:br w:type="textWrapping"/>
            </w: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实际支付进度：部门在某一时点的支出预算执行总数与年度支出预算数的比率。</w:t>
            </w:r>
            <w:r>
              <w:rPr>
                <w:rFonts w:ascii="仿宋_GB2312" w:eastAsia="仿宋_GB2312"/>
                <w:szCs w:val="21"/>
              </w:rPr>
              <w:br w:type="textWrapping"/>
            </w: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相关管理制度是否合法、合规、完整；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预算支出的重大开支是否经过评估论证；</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是否符合部门预算批复的用途；</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是否按规定内容公开预决算信息；</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是否按规定时限公开预决算信息。</w:t>
            </w:r>
            <w:r>
              <w:rPr>
                <w:rFonts w:ascii="仿宋_GB2312" w:eastAsia="仿宋_GB2312"/>
                <w:szCs w:val="21"/>
              </w:rPr>
              <w:br w:type="textWrapping"/>
            </w: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ascii="仿宋_GB2312" w:eastAsia="仿宋_GB2312"/>
                <w:szCs w:val="21"/>
              </w:rPr>
            </w:pPr>
            <w:r>
              <w:rPr>
                <w:rFonts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基础数据信息和会计信息资料是否真实；</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基础数据信息和会计信息资料是否完整；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资产保存是否完整；</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资产配置是否合理；</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资产处置是否规范；</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资产账务管理是否合规，是否帐实相符；</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固定资产</w:t>
            </w:r>
          </w:p>
          <w:p>
            <w:pPr>
              <w:spacing w:line="320" w:lineRule="exact"/>
              <w:jc w:val="center"/>
              <w:rPr>
                <w:rFonts w:ascii="仿宋_GB2312" w:eastAsia="仿宋_GB2312"/>
                <w:szCs w:val="21"/>
              </w:rPr>
            </w:pPr>
            <w:r>
              <w:rPr>
                <w:rFonts w:hint="eastAsia" w:ascii="仿宋_GB2312" w:eastAsia="仿宋_GB2312"/>
                <w:szCs w:val="21"/>
              </w:rPr>
              <w:t>利用率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固定资产利用率</w:t>
            </w:r>
            <w:r>
              <w:rPr>
                <w:rFonts w:ascii="仿宋_GB2312" w:eastAsia="仿宋_GB2312"/>
                <w:szCs w:val="21"/>
              </w:rPr>
              <w:t>=</w:t>
            </w:r>
            <w:r>
              <w:rPr>
                <w:rFonts w:hint="eastAsia" w:ascii="仿宋_GB2312" w:eastAsia="仿宋_GB2312"/>
                <w:szCs w:val="21"/>
              </w:rPr>
              <w:t>（实际在用固定资产总额</w:t>
            </w:r>
            <w:r>
              <w:rPr>
                <w:rFonts w:ascii="仿宋_GB2312" w:eastAsia="仿宋_GB2312"/>
                <w:szCs w:val="21"/>
              </w:rPr>
              <w:t>/</w:t>
            </w:r>
            <w:r>
              <w:rPr>
                <w:rFonts w:hint="eastAsia" w:ascii="仿宋_GB2312" w:eastAsia="仿宋_GB2312"/>
                <w:szCs w:val="21"/>
              </w:rPr>
              <w:t>所有固定资产总额）×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实际完成工作数：一定时期（年度或规划期）内部门实际完成工作任务的数量。</w:t>
            </w:r>
            <w:r>
              <w:rPr>
                <w:rFonts w:ascii="仿宋_GB2312" w:eastAsia="仿宋_GB2312"/>
                <w:szCs w:val="21"/>
              </w:rPr>
              <w:br w:type="textWrapping"/>
            </w: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产</w:t>
            </w:r>
          </w:p>
          <w:p>
            <w:pPr>
              <w:spacing w:line="320" w:lineRule="exact"/>
              <w:jc w:val="center"/>
              <w:rPr>
                <w:rFonts w:ascii="仿宋_GB2312" w:eastAsia="仿宋_GB2312"/>
                <w:szCs w:val="21"/>
              </w:rPr>
            </w:pPr>
            <w:r>
              <w:rPr>
                <w:rFonts w:hint="eastAsia" w:ascii="仿宋_GB2312" w:eastAsia="仿宋_GB2312"/>
                <w:szCs w:val="21"/>
              </w:rPr>
              <w:t>出</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年对各部门为民办实事和部门重点工程与重点工作考核分数折</w:t>
            </w:r>
            <w:bookmarkStart w:id="0" w:name="_GoBack"/>
            <w:bookmarkEnd w:id="0"/>
            <w:r>
              <w:rPr>
                <w:rFonts w:hint="eastAsia" w:ascii="仿宋_GB2312" w:eastAsia="仿宋_GB2312"/>
                <w:szCs w:val="21"/>
              </w:rPr>
              <w:t>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履职</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96.5</w:t>
            </w:r>
          </w:p>
        </w:tc>
      </w:tr>
    </w:tbl>
    <w:p/>
    <w:p>
      <w:pPr>
        <w:widowControl/>
        <w:jc w:val="left"/>
      </w:pPr>
      <w:r>
        <w:br w:type="page"/>
      </w:r>
    </w:p>
    <w:p>
      <w:pPr>
        <w:widowControl/>
        <w:jc w:val="left"/>
        <w:rPr>
          <w:rFonts w:eastAsia="仿宋_GB2312"/>
          <w:sz w:val="32"/>
          <w:szCs w:val="32"/>
        </w:rPr>
      </w:pPr>
      <w:r>
        <w:rPr>
          <w:rFonts w:hint="eastAsia" w:eastAsia="黑体"/>
          <w:sz w:val="32"/>
          <w:szCs w:val="32"/>
        </w:rPr>
        <w:t>附件</w:t>
      </w:r>
      <w:r>
        <w:rPr>
          <w:rFonts w:eastAsia="黑体"/>
          <w:sz w:val="32"/>
          <w:szCs w:val="32"/>
        </w:rPr>
        <w:t>2</w:t>
      </w:r>
    </w:p>
    <w:p>
      <w:pPr>
        <w:jc w:val="center"/>
        <w:rPr>
          <w:rFonts w:ascii="仿宋" w:hAnsi="仿宋" w:eastAsia="仿宋"/>
          <w:b/>
          <w:bCs/>
          <w:sz w:val="44"/>
          <w:szCs w:val="44"/>
        </w:rPr>
      </w:pPr>
      <w:r>
        <w:rPr>
          <w:rFonts w:hint="eastAsia" w:ascii="仿宋" w:hAnsi="仿宋" w:eastAsia="仿宋"/>
          <w:b/>
          <w:bCs/>
          <w:sz w:val="44"/>
          <w:szCs w:val="44"/>
        </w:rPr>
        <w:t>部门整体支出绩效评价基础数据表</w:t>
      </w:r>
    </w:p>
    <w:p>
      <w:pPr>
        <w:rPr>
          <w:rFonts w:ascii="仿宋" w:hAnsi="仿宋" w:eastAsia="仿宋"/>
        </w:rPr>
      </w:pPr>
      <w:r>
        <w:rPr>
          <w:rFonts w:hint="eastAsia" w:ascii="仿宋" w:hAnsi="仿宋" w:eastAsia="仿宋"/>
        </w:rPr>
        <w:t>填报单位：</w:t>
      </w:r>
    </w:p>
    <w:tbl>
      <w:tblPr>
        <w:tblStyle w:val="4"/>
        <w:tblW w:w="10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97"/>
        <w:gridCol w:w="2181"/>
        <w:gridCol w:w="2292"/>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3597" w:type="dxa"/>
            <w:vMerge w:val="restart"/>
            <w:vAlign w:val="center"/>
          </w:tcPr>
          <w:p>
            <w:pPr>
              <w:spacing w:line="440" w:lineRule="exact"/>
              <w:jc w:val="center"/>
              <w:rPr>
                <w:rFonts w:ascii="仿宋" w:hAnsi="仿宋" w:eastAsia="仿宋"/>
              </w:rPr>
            </w:pPr>
            <w:r>
              <w:rPr>
                <w:rFonts w:hint="eastAsia" w:ascii="仿宋" w:hAnsi="仿宋" w:eastAsia="仿宋"/>
              </w:rPr>
              <w:t>财政供养人员情况</w:t>
            </w: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rPr>
              <w:t>编制数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年实际在职人数</w:t>
            </w:r>
          </w:p>
        </w:tc>
        <w:tc>
          <w:tcPr>
            <w:tcW w:w="2244" w:type="dxa"/>
            <w:tcBorders>
              <w:left w:val="nil"/>
            </w:tcBorders>
            <w:vAlign w:val="center"/>
          </w:tcPr>
          <w:p>
            <w:pPr>
              <w:spacing w:line="440" w:lineRule="exact"/>
              <w:jc w:val="center"/>
              <w:rPr>
                <w:rFonts w:ascii="仿宋" w:hAnsi="仿宋" w:eastAsia="仿宋"/>
              </w:rPr>
            </w:pPr>
            <w:r>
              <w:rPr>
                <w:rFonts w:hint="eastAsia" w:ascii="仿宋" w:hAnsi="仿宋" w:eastAsia="仿宋"/>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3597" w:type="dxa"/>
            <w:vMerge w:val="continue"/>
            <w:vAlign w:val="center"/>
          </w:tcPr>
          <w:p>
            <w:pPr>
              <w:widowControl/>
              <w:spacing w:line="440" w:lineRule="exact"/>
              <w:jc w:val="left"/>
              <w:rPr>
                <w:rFonts w:ascii="仿宋" w:hAnsi="仿宋" w:eastAsia="仿宋"/>
              </w:rPr>
            </w:pPr>
          </w:p>
        </w:tc>
        <w:tc>
          <w:tcPr>
            <w:tcW w:w="2181"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42</w:t>
            </w:r>
          </w:p>
        </w:tc>
        <w:tc>
          <w:tcPr>
            <w:tcW w:w="2292"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40</w:t>
            </w:r>
          </w:p>
        </w:tc>
        <w:tc>
          <w:tcPr>
            <w:tcW w:w="2244"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95.23%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经费控制情况</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2019</w:t>
            </w:r>
            <w:r>
              <w:rPr>
                <w:rFonts w:hint="eastAsia" w:ascii="仿宋" w:hAnsi="仿宋" w:eastAsia="仿宋"/>
              </w:rPr>
              <w:t>年决算数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年预算数</w:t>
            </w:r>
          </w:p>
        </w:tc>
        <w:tc>
          <w:tcPr>
            <w:tcW w:w="2244"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三公经费</w:t>
            </w:r>
          </w:p>
        </w:tc>
        <w:tc>
          <w:tcPr>
            <w:tcW w:w="2181"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36.25</w:t>
            </w:r>
          </w:p>
        </w:tc>
        <w:tc>
          <w:tcPr>
            <w:tcW w:w="2292"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36</w:t>
            </w: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、公务用车购置和维护经费</w:t>
            </w:r>
          </w:p>
        </w:tc>
        <w:tc>
          <w:tcPr>
            <w:tcW w:w="2181"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19.36</w:t>
            </w:r>
          </w:p>
        </w:tc>
        <w:tc>
          <w:tcPr>
            <w:tcW w:w="2292"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18</w:t>
            </w: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其中：公车购置</w:t>
            </w:r>
          </w:p>
        </w:tc>
        <w:tc>
          <w:tcPr>
            <w:tcW w:w="2181" w:type="dxa"/>
            <w:tcBorders>
              <w:left w:val="nil"/>
            </w:tcBorders>
          </w:tcPr>
          <w:p>
            <w:pPr>
              <w:spacing w:line="440" w:lineRule="exact"/>
              <w:rPr>
                <w:rFonts w:ascii="仿宋" w:hAnsi="仿宋" w:eastAsia="仿宋"/>
              </w:rPr>
            </w:pP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公车运行维护</w:t>
            </w:r>
          </w:p>
        </w:tc>
        <w:tc>
          <w:tcPr>
            <w:tcW w:w="2181"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19.36</w:t>
            </w:r>
          </w:p>
        </w:tc>
        <w:tc>
          <w:tcPr>
            <w:tcW w:w="2292"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18</w:t>
            </w: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、出国经费</w:t>
            </w:r>
          </w:p>
        </w:tc>
        <w:tc>
          <w:tcPr>
            <w:tcW w:w="2181" w:type="dxa"/>
            <w:tcBorders>
              <w:left w:val="nil"/>
            </w:tcBorders>
          </w:tcPr>
          <w:p>
            <w:pPr>
              <w:spacing w:line="440" w:lineRule="exact"/>
              <w:rPr>
                <w:rFonts w:ascii="仿宋" w:hAnsi="仿宋" w:eastAsia="仿宋"/>
              </w:rPr>
            </w:pP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3</w:t>
            </w:r>
            <w:r>
              <w:rPr>
                <w:rFonts w:hint="eastAsia" w:ascii="仿宋" w:hAnsi="仿宋" w:eastAsia="仿宋"/>
              </w:rPr>
              <w:t>、公务接待</w:t>
            </w:r>
          </w:p>
        </w:tc>
        <w:tc>
          <w:tcPr>
            <w:tcW w:w="2181"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16.89</w:t>
            </w:r>
          </w:p>
        </w:tc>
        <w:tc>
          <w:tcPr>
            <w:tcW w:w="2292"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18</w:t>
            </w: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项目支出：</w:t>
            </w:r>
          </w:p>
        </w:tc>
        <w:tc>
          <w:tcPr>
            <w:tcW w:w="2181" w:type="dxa"/>
            <w:tcBorders>
              <w:left w:val="nil"/>
            </w:tcBorders>
          </w:tcPr>
          <w:p>
            <w:pPr>
              <w:spacing w:line="440" w:lineRule="exact"/>
              <w:rPr>
                <w:rFonts w:ascii="仿宋" w:hAnsi="仿宋" w:eastAsia="仿宋"/>
              </w:rPr>
            </w:pP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、业务工作专项</w:t>
            </w:r>
          </w:p>
        </w:tc>
        <w:tc>
          <w:tcPr>
            <w:tcW w:w="2181" w:type="dxa"/>
            <w:tcBorders>
              <w:left w:val="nil"/>
            </w:tcBorders>
          </w:tcPr>
          <w:p>
            <w:pPr>
              <w:spacing w:line="440" w:lineRule="exact"/>
              <w:rPr>
                <w:rFonts w:ascii="仿宋" w:hAnsi="仿宋" w:eastAsia="仿宋"/>
              </w:rPr>
            </w:pP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、运行维护专项</w:t>
            </w:r>
          </w:p>
        </w:tc>
        <w:tc>
          <w:tcPr>
            <w:tcW w:w="2181" w:type="dxa"/>
            <w:tcBorders>
              <w:left w:val="nil"/>
            </w:tcBorders>
          </w:tcPr>
          <w:p>
            <w:pPr>
              <w:spacing w:line="440" w:lineRule="exact"/>
              <w:rPr>
                <w:rFonts w:ascii="仿宋" w:hAnsi="仿宋" w:eastAsia="仿宋"/>
              </w:rPr>
            </w:pP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w:t>
            </w:r>
            <w:r>
              <w:rPr>
                <w:rFonts w:ascii="宋体" w:cs="宋体"/>
              </w:rPr>
              <w:t> </w:t>
            </w:r>
            <w:r>
              <w:rPr>
                <w:rFonts w:hint="eastAsia" w:ascii="仿宋" w:hAnsi="仿宋" w:eastAsia="仿宋"/>
              </w:rPr>
              <w:t>…</w:t>
            </w:r>
          </w:p>
        </w:tc>
        <w:tc>
          <w:tcPr>
            <w:tcW w:w="2181" w:type="dxa"/>
            <w:tcBorders>
              <w:left w:val="nil"/>
            </w:tcBorders>
          </w:tcPr>
          <w:p>
            <w:pPr>
              <w:spacing w:line="440" w:lineRule="exact"/>
              <w:rPr>
                <w:rFonts w:ascii="仿宋" w:hAnsi="仿宋" w:eastAsia="仿宋"/>
              </w:rPr>
            </w:pP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公用经费</w:t>
            </w:r>
          </w:p>
        </w:tc>
        <w:tc>
          <w:tcPr>
            <w:tcW w:w="2181"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118.60</w:t>
            </w:r>
          </w:p>
        </w:tc>
        <w:tc>
          <w:tcPr>
            <w:tcW w:w="2292"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138</w:t>
            </w: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212.85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其中：办公经费</w:t>
            </w:r>
          </w:p>
        </w:tc>
        <w:tc>
          <w:tcPr>
            <w:tcW w:w="2181"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105.64</w:t>
            </w:r>
          </w:p>
        </w:tc>
        <w:tc>
          <w:tcPr>
            <w:tcW w:w="2292"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108.88</w:t>
            </w: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199.57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水费、电费、差旅费</w:t>
            </w:r>
          </w:p>
        </w:tc>
        <w:tc>
          <w:tcPr>
            <w:tcW w:w="2181"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9.56</w:t>
            </w:r>
          </w:p>
        </w:tc>
        <w:tc>
          <w:tcPr>
            <w:tcW w:w="2292"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23</w:t>
            </w:r>
          </w:p>
        </w:tc>
        <w:tc>
          <w:tcPr>
            <w:tcW w:w="2244"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10.28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会议费、培训费</w:t>
            </w:r>
          </w:p>
        </w:tc>
        <w:tc>
          <w:tcPr>
            <w:tcW w:w="2181"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3.4</w:t>
            </w:r>
          </w:p>
        </w:tc>
        <w:tc>
          <w:tcPr>
            <w:tcW w:w="2292" w:type="dxa"/>
            <w:tcBorders>
              <w:left w:val="nil"/>
            </w:tcBorders>
          </w:tcPr>
          <w:p>
            <w:pPr>
              <w:spacing w:line="440" w:lineRule="exact"/>
              <w:rPr>
                <w:rFonts w:hint="default" w:ascii="仿宋" w:hAnsi="仿宋" w:eastAsia="仿宋"/>
                <w:lang w:val="en-US" w:eastAsia="zh-CN"/>
              </w:rPr>
            </w:pPr>
            <w:r>
              <w:rPr>
                <w:rFonts w:hint="eastAsia" w:ascii="仿宋" w:hAnsi="仿宋" w:eastAsia="仿宋"/>
                <w:lang w:val="en-US" w:eastAsia="zh-CN"/>
              </w:rPr>
              <w:t>6.12</w:t>
            </w:r>
          </w:p>
        </w:tc>
        <w:tc>
          <w:tcPr>
            <w:tcW w:w="2244" w:type="dxa"/>
            <w:tcBorders>
              <w:left w:val="nil"/>
            </w:tcBorders>
          </w:tcPr>
          <w:p>
            <w:pPr>
              <w:spacing w:line="440" w:lineRule="exact"/>
              <w:rPr>
                <w:rFonts w:hint="eastAsia" w:ascii="仿宋" w:hAnsi="仿宋" w:eastAsia="仿宋"/>
                <w:lang w:val="en-US" w:eastAsia="zh-CN"/>
              </w:rPr>
            </w:pPr>
            <w:r>
              <w:rPr>
                <w:rFonts w:hint="eastAsia" w:ascii="仿宋" w:hAnsi="仿宋" w:eastAsia="仿宋"/>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政府采购金额</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部门整体支出预算调整</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bl>
    <w:p>
      <w:pPr>
        <w:spacing w:line="400" w:lineRule="exact"/>
        <w:rPr>
          <w:rFonts w:ascii="仿宋" w:hAnsi="仿宋" w:eastAsia="仿宋"/>
        </w:rPr>
      </w:pPr>
      <w:r>
        <w:rPr>
          <w:rFonts w:hint="eastAsia" w:ascii="仿宋" w:hAnsi="仿宋" w:eastAsia="仿宋"/>
        </w:rPr>
        <w:t>说明：“项目支出”需要填报除专项资金和基本支出以外的所有项目情况，包括业务工作项目、运行维护项目等；“公用经费”填报基本支出中的一般商品和服务支出。</w:t>
      </w:r>
    </w:p>
    <w:p/>
    <w:p/>
    <w:p/>
    <w:p/>
    <w:p/>
    <w:p/>
    <w:p/>
    <w:p>
      <w:pPr>
        <w:adjustRightInd w:val="0"/>
        <w:snapToGrid w:val="0"/>
        <w:spacing w:line="600" w:lineRule="exact"/>
      </w:pPr>
    </w:p>
    <w:sectPr>
      <w:pgSz w:w="11906" w:h="16838"/>
      <w:pgMar w:top="468"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5A1"/>
    <w:rsid w:val="000000A5"/>
    <w:rsid w:val="00022046"/>
    <w:rsid w:val="00037FEA"/>
    <w:rsid w:val="000B0765"/>
    <w:rsid w:val="000B57BC"/>
    <w:rsid w:val="001107A7"/>
    <w:rsid w:val="00162440"/>
    <w:rsid w:val="00174EEF"/>
    <w:rsid w:val="001A127E"/>
    <w:rsid w:val="00234476"/>
    <w:rsid w:val="002530C6"/>
    <w:rsid w:val="002558F7"/>
    <w:rsid w:val="0031755D"/>
    <w:rsid w:val="003711D0"/>
    <w:rsid w:val="00377767"/>
    <w:rsid w:val="00377A33"/>
    <w:rsid w:val="00396AAA"/>
    <w:rsid w:val="003E5114"/>
    <w:rsid w:val="00426627"/>
    <w:rsid w:val="004869C4"/>
    <w:rsid w:val="00493979"/>
    <w:rsid w:val="005833DD"/>
    <w:rsid w:val="00595424"/>
    <w:rsid w:val="00597FBB"/>
    <w:rsid w:val="005A4AB0"/>
    <w:rsid w:val="00614437"/>
    <w:rsid w:val="00634126"/>
    <w:rsid w:val="006370F0"/>
    <w:rsid w:val="006811E5"/>
    <w:rsid w:val="006A57F6"/>
    <w:rsid w:val="006B5E37"/>
    <w:rsid w:val="007B54D9"/>
    <w:rsid w:val="00822DA2"/>
    <w:rsid w:val="00887C00"/>
    <w:rsid w:val="008A4834"/>
    <w:rsid w:val="008D7141"/>
    <w:rsid w:val="008D77F4"/>
    <w:rsid w:val="00947E30"/>
    <w:rsid w:val="009677C0"/>
    <w:rsid w:val="009A29A3"/>
    <w:rsid w:val="009D3359"/>
    <w:rsid w:val="009D4AE4"/>
    <w:rsid w:val="00A045A1"/>
    <w:rsid w:val="00A070E1"/>
    <w:rsid w:val="00A317C9"/>
    <w:rsid w:val="00A3605E"/>
    <w:rsid w:val="00A75C37"/>
    <w:rsid w:val="00A865A7"/>
    <w:rsid w:val="00A86D65"/>
    <w:rsid w:val="00AA700A"/>
    <w:rsid w:val="00B364CE"/>
    <w:rsid w:val="00B56634"/>
    <w:rsid w:val="00BB062F"/>
    <w:rsid w:val="00BB55FB"/>
    <w:rsid w:val="00BB6107"/>
    <w:rsid w:val="00BC61F7"/>
    <w:rsid w:val="00BD1C3A"/>
    <w:rsid w:val="00BF151A"/>
    <w:rsid w:val="00C25716"/>
    <w:rsid w:val="00C3391C"/>
    <w:rsid w:val="00C344EC"/>
    <w:rsid w:val="00C4552C"/>
    <w:rsid w:val="00C72139"/>
    <w:rsid w:val="00C743CE"/>
    <w:rsid w:val="00CA4203"/>
    <w:rsid w:val="00CC4C2C"/>
    <w:rsid w:val="00CD20A2"/>
    <w:rsid w:val="00D10324"/>
    <w:rsid w:val="00D42786"/>
    <w:rsid w:val="00E127F9"/>
    <w:rsid w:val="00E50869"/>
    <w:rsid w:val="00F318D3"/>
    <w:rsid w:val="00F45BFB"/>
    <w:rsid w:val="00F55CD7"/>
    <w:rsid w:val="00FC7FE9"/>
    <w:rsid w:val="186B4259"/>
    <w:rsid w:val="370C1C03"/>
    <w:rsid w:val="3D5F504D"/>
    <w:rsid w:val="52D467C0"/>
    <w:rsid w:val="61037472"/>
    <w:rsid w:val="6C2D30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Header Char"/>
    <w:basedOn w:val="5"/>
    <w:link w:val="3"/>
    <w:semiHidden/>
    <w:qFormat/>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16</Pages>
  <Words>1301</Words>
  <Characters>7417</Characters>
  <Lines>0</Lines>
  <Paragraphs>0</Paragraphs>
  <TotalTime>37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2021-01-21T07:46:00Z</dcterms:created>
  <dc:creator>AutoBVT</dc:creator>
  <cp:lastModifiedBy>荣儿</cp:lastModifiedBy>
  <cp:lastPrinted>2021-01-21T01:26:00Z</cp:lastPrinted>
  <dcterms:modified xsi:type="dcterms:W3CDTF">2021-09-10T07:52:24Z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620251704_cloud</vt:lpwstr>
  </property>
  <property fmtid="{D5CDD505-2E9C-101B-9397-08002B2CF9AE}" pid="3" name="KSOProductBuildVer">
    <vt:lpwstr>2052-11.1.0.10700</vt:lpwstr>
  </property>
  <property fmtid="{D5CDD505-2E9C-101B-9397-08002B2CF9AE}" pid="4" name="ICV">
    <vt:lpwstr>E2530FE0893C4E889426F86135B659D5</vt:lpwstr>
  </property>
</Properties>
</file>