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sz w:val="24"/>
        </w:rPr>
      </w:pPr>
      <w:r>
        <w:rPr>
          <w:rFonts w:ascii="仿宋" w:hAnsi="仿宋" w:eastAsia="仿宋"/>
          <w:sz w:val="28"/>
          <w:szCs w:val="28"/>
        </w:rPr>
        <w:t>附件</w:t>
      </w:r>
      <w:r>
        <w:rPr>
          <w:rFonts w:hint="eastAsia" w:ascii="仿宋" w:hAnsi="仿宋" w:eastAsia="仿宋"/>
          <w:sz w:val="28"/>
          <w:szCs w:val="28"/>
        </w:rPr>
        <w:t xml:space="preserve">4 </w:t>
      </w:r>
      <w:r>
        <w:rPr>
          <w:rFonts w:hint="eastAsia" w:ascii="仿宋" w:hAnsi="仿宋" w:eastAsia="仿宋"/>
          <w:sz w:val="24"/>
        </w:rPr>
        <w:t xml:space="preserve"> </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sz w:val="24"/>
        </w:rPr>
      </w:pPr>
    </w:p>
    <w:p>
      <w:pPr>
        <w:spacing w:line="600" w:lineRule="exact"/>
        <w:jc w:val="center"/>
        <w:rPr>
          <w:sz w:val="24"/>
        </w:rPr>
      </w:pPr>
    </w:p>
    <w:p>
      <w:pPr>
        <w:widowControl/>
        <w:spacing w:line="640" w:lineRule="exact"/>
        <w:jc w:val="center"/>
        <w:rPr>
          <w:rFonts w:hint="eastAsia" w:ascii="黑体" w:hAnsi="黑体" w:eastAsia="黑体" w:cs="黑体"/>
          <w:bCs/>
          <w:sz w:val="44"/>
        </w:rPr>
      </w:pPr>
      <w:r>
        <w:rPr>
          <w:rFonts w:hint="eastAsia" w:ascii="黑体" w:hAnsi="黑体" w:eastAsia="黑体" w:cs="黑体"/>
          <w:bCs/>
          <w:sz w:val="44"/>
          <w:lang w:eastAsia="zh-CN"/>
        </w:rPr>
        <w:t>2024</w:t>
      </w:r>
      <w:r>
        <w:rPr>
          <w:rFonts w:hint="eastAsia" w:ascii="黑体" w:hAnsi="黑体" w:eastAsia="黑体" w:cs="黑体"/>
          <w:bCs/>
          <w:sz w:val="44"/>
        </w:rPr>
        <w:t>年度</w:t>
      </w:r>
      <w:r>
        <w:rPr>
          <w:rFonts w:hint="eastAsia" w:ascii="黑体" w:hAnsi="黑体" w:eastAsia="黑体" w:cs="黑体"/>
          <w:bCs/>
          <w:sz w:val="44"/>
          <w:lang w:val="en-US" w:eastAsia="zh-CN"/>
        </w:rPr>
        <w:t>安坪镇</w:t>
      </w:r>
      <w:r>
        <w:rPr>
          <w:rFonts w:hint="eastAsia" w:ascii="黑体" w:hAnsi="黑体" w:eastAsia="黑体" w:cs="黑体"/>
          <w:bCs/>
          <w:sz w:val="44"/>
          <w:lang w:eastAsia="zh-CN"/>
        </w:rPr>
        <w:t>人民政府</w:t>
      </w:r>
      <w:r>
        <w:rPr>
          <w:rFonts w:hint="eastAsia" w:ascii="黑体" w:hAnsi="黑体" w:eastAsia="黑体" w:cs="黑体"/>
          <w:bCs/>
          <w:sz w:val="44"/>
        </w:rPr>
        <w:t>部门整体支出</w:t>
      </w:r>
    </w:p>
    <w:p>
      <w:pPr>
        <w:widowControl/>
        <w:spacing w:line="640" w:lineRule="exact"/>
        <w:jc w:val="center"/>
        <w:rPr>
          <w:rFonts w:hint="eastAsia" w:ascii="黑体" w:hAnsi="黑体" w:eastAsia="黑体" w:cs="黑体"/>
          <w:bCs/>
          <w:sz w:val="44"/>
        </w:rPr>
      </w:pPr>
      <w:r>
        <w:rPr>
          <w:rFonts w:hint="eastAsia" w:ascii="黑体" w:hAnsi="黑体" w:eastAsia="黑体" w:cs="黑体"/>
          <w:bCs/>
          <w:sz w:val="44"/>
        </w:rPr>
        <w:t>绩效自评报告</w:t>
      </w: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rPr>
          <w:sz w:val="24"/>
        </w:rPr>
      </w:pPr>
    </w:p>
    <w:p>
      <w:pPr>
        <w:spacing w:line="600" w:lineRule="exact"/>
        <w:jc w:val="center"/>
        <w:rPr>
          <w:sz w:val="32"/>
          <w:szCs w:val="32"/>
          <w:u w:val="single"/>
        </w:rPr>
      </w:pPr>
      <w:r>
        <w:rPr>
          <w:rFonts w:hint="eastAsia"/>
          <w:sz w:val="32"/>
          <w:szCs w:val="32"/>
        </w:rPr>
        <w:t>部门（单位）名称：</w:t>
      </w:r>
      <w:r>
        <w:rPr>
          <w:rFonts w:hint="eastAsia"/>
          <w:sz w:val="32"/>
          <w:szCs w:val="32"/>
          <w:u w:val="single"/>
          <w:lang w:val="en-US" w:eastAsia="zh-CN"/>
        </w:rPr>
        <w:t>辰溪县安坪镇人民政府</w:t>
      </w:r>
    </w:p>
    <w:p>
      <w:pPr>
        <w:spacing w:line="600" w:lineRule="exact"/>
        <w:ind w:firstLine="640"/>
        <w:jc w:val="center"/>
        <w:rPr>
          <w:sz w:val="32"/>
          <w:szCs w:val="32"/>
        </w:rPr>
      </w:pPr>
      <w:r>
        <w:rPr>
          <w:rFonts w:hint="eastAsia"/>
          <w:sz w:val="32"/>
          <w:szCs w:val="32"/>
          <w:lang w:val="en-US" w:eastAsia="zh-CN"/>
        </w:rPr>
        <w:t>2025</w:t>
      </w:r>
      <w:r>
        <w:rPr>
          <w:rFonts w:hint="eastAsia"/>
          <w:sz w:val="32"/>
          <w:szCs w:val="32"/>
        </w:rPr>
        <w:t xml:space="preserve">年 </w:t>
      </w:r>
      <w:r>
        <w:rPr>
          <w:rFonts w:hint="eastAsia"/>
          <w:sz w:val="32"/>
          <w:szCs w:val="32"/>
          <w:lang w:val="en-US" w:eastAsia="zh-CN"/>
        </w:rPr>
        <w:t>5</w:t>
      </w:r>
      <w:r>
        <w:rPr>
          <w:rFonts w:hint="eastAsia"/>
          <w:sz w:val="32"/>
          <w:szCs w:val="32"/>
        </w:rPr>
        <w:t>月</w:t>
      </w:r>
      <w:r>
        <w:rPr>
          <w:rFonts w:hint="eastAsia"/>
          <w:sz w:val="32"/>
          <w:szCs w:val="32"/>
          <w:lang w:val="en-US" w:eastAsia="zh-CN"/>
        </w:rPr>
        <w:t>13</w:t>
      </w:r>
      <w:r>
        <w:rPr>
          <w:rFonts w:hint="eastAsia"/>
          <w:sz w:val="32"/>
          <w:szCs w:val="32"/>
        </w:rPr>
        <w:t>日</w:t>
      </w:r>
    </w:p>
    <w:p>
      <w:pPr>
        <w:spacing w:line="600" w:lineRule="exact"/>
        <w:jc w:val="center"/>
        <w:rPr>
          <w:rFonts w:hint="eastAsia" w:eastAsia="方正小标宋_GBK"/>
          <w:sz w:val="36"/>
          <w:szCs w:val="36"/>
        </w:rPr>
      </w:pPr>
    </w:p>
    <w:p>
      <w:pPr>
        <w:rPr>
          <w:rFonts w:hint="default" w:eastAsia="方正小标宋_GBK"/>
          <w:sz w:val="36"/>
          <w:szCs w:val="36"/>
          <w:lang w:val="en-US" w:eastAsia="zh-CN"/>
        </w:rPr>
      </w:pPr>
    </w:p>
    <w:p>
      <w:pPr>
        <w:spacing w:line="600" w:lineRule="exact"/>
        <w:jc w:val="both"/>
        <w:rPr>
          <w:rFonts w:hint="default" w:eastAsia="方正小标宋_GBK"/>
          <w:sz w:val="36"/>
          <w:szCs w:val="36"/>
          <w:lang w:val="en-US" w:eastAsia="zh-CN"/>
        </w:rPr>
      </w:pPr>
    </w:p>
    <w:p>
      <w:pPr>
        <w:widowControl/>
        <w:spacing w:line="640" w:lineRule="exact"/>
        <w:jc w:val="center"/>
        <w:rPr>
          <w:rFonts w:hint="eastAsia" w:ascii="黑体" w:hAnsi="黑体" w:eastAsia="黑体" w:cs="黑体"/>
          <w:bCs/>
          <w:sz w:val="44"/>
        </w:rPr>
      </w:pPr>
      <w:r>
        <w:rPr>
          <w:rFonts w:hint="eastAsia" w:ascii="黑体" w:hAnsi="黑体" w:eastAsia="黑体" w:cs="黑体"/>
          <w:bCs/>
          <w:sz w:val="44"/>
          <w:lang w:eastAsia="zh-CN"/>
        </w:rPr>
        <w:t>2024</w:t>
      </w:r>
      <w:r>
        <w:rPr>
          <w:rFonts w:hint="eastAsia" w:ascii="黑体" w:hAnsi="黑体" w:eastAsia="黑体" w:cs="黑体"/>
          <w:bCs/>
          <w:sz w:val="44"/>
        </w:rPr>
        <w:t>年度</w:t>
      </w:r>
      <w:r>
        <w:rPr>
          <w:rFonts w:hint="eastAsia" w:ascii="黑体" w:hAnsi="黑体" w:eastAsia="黑体" w:cs="黑体"/>
          <w:bCs/>
          <w:sz w:val="44"/>
          <w:lang w:eastAsia="zh-CN"/>
        </w:rPr>
        <w:t>安坪镇人民政府</w:t>
      </w:r>
      <w:r>
        <w:rPr>
          <w:rFonts w:hint="eastAsia" w:ascii="黑体" w:hAnsi="黑体" w:eastAsia="黑体" w:cs="黑体"/>
          <w:bCs/>
          <w:sz w:val="44"/>
        </w:rPr>
        <w:t>部门整体支出绩效自评报告</w:t>
      </w:r>
    </w:p>
    <w:p>
      <w:pPr>
        <w:spacing w:line="600" w:lineRule="exact"/>
        <w:jc w:val="center"/>
        <w:rPr>
          <w:rFonts w:eastAsia="方正小标宋_GBK"/>
          <w:sz w:val="32"/>
          <w:szCs w:val="32"/>
        </w:rPr>
      </w:pPr>
    </w:p>
    <w:p>
      <w:pPr>
        <w:pStyle w:val="8"/>
        <w:widowControl/>
        <w:numPr>
          <w:ilvl w:val="0"/>
          <w:numId w:val="1"/>
        </w:numPr>
        <w:spacing w:line="600" w:lineRule="exact"/>
        <w:ind w:left="640" w:firstLine="0" w:firstLineChars="0"/>
        <w:rPr>
          <w:rFonts w:hint="eastAsia" w:ascii="Times New Roman" w:hAnsi="Times New Roman" w:eastAsia="黑体"/>
          <w:sz w:val="32"/>
          <w:szCs w:val="32"/>
        </w:rPr>
      </w:pPr>
      <w:r>
        <w:rPr>
          <w:rFonts w:hint="eastAsia" w:ascii="Times New Roman" w:hAnsi="Times New Roman" w:eastAsia="黑体"/>
          <w:sz w:val="32"/>
          <w:szCs w:val="32"/>
        </w:rPr>
        <w:t>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eastAsia"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（一）部门职责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1、党政办公室：负责协助</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领导处理日常党务和行政管理工作；协助抓好纪检、监察、群团工作和精神文明建设；做好文秘、接待、后勤、信息、统计、档案、调研、督查工作；负责政策性文件、具体行政行为的审核和上报备案以及行政执法证件的使用管理，承办以</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政府为被告或被申请人的行政诉讼、行政赔偿和行政复议案件，具体承担依法行政、政务公开和行政执法监督的各项工作；联系联络人大、政协工作，承办</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党委、政府和上级主管部门交办的其他事项。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2、党建办公室：按照干部管理权限，组织实施对干部的教育、培训、考核、奖惩、任免、后备干部的培养选拔和党员发展教育等工作；负责本单位干部职工心理健康关爱工作；承担基层党的政治建设、组织工作、宣传工作、统战工作、党风廉政建设和反腐败工作、党建带群团建设等职责；负责武装、民宗、群团和精神文明建设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3、财政所：负责编制和执行</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政府财政预决算工作，管理预算内外资金、编制财政预算草案；负责管理和监督本</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所属行政事业单位的财务活动；负责财政收支管理，</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财政性资金债权管理；负责政府性项目及大额固定资金等方面的内审工作；负责党委会等会议决定事项的督办工作。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4、经济发展办公室：贯彻国家对农业的方针、政策和法规，对农业产业结构调整，农业资源配置和产品品质改善实施服务；负责全</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农村经济发展规划和重要项目申报工作，指导全</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各村编制农村经济、项目立项，做好统计工作；引导各村深化农村经济体制改革，完善农村社会化服务体系，做好农业新技术的培训教育和职称评审工作；收集和反馈农业综合信息，为农业经济发展提供产前、产中、产后全方位服务，积极发展信息、中介、行业协会等社会服务组织；负责环境卫生工作；负责畜牧兽医的疫情监控及防疫工作；承担党委、政府和上级业务部门交办的其他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5、社会事务办公室：积极宣传贯彻《村民委员会组织法》，做好村民委员会换届选举的指导工作；负责行政区划，救灾、救济物资的管理与发放，灾民的安置，困难户的救济与扶贫，散居五保户的管理，积极开展社会募捐献爱心活动，负责残疾人事业的管理与协调；负责义务兵优待款及各项抚恤金的发放；负责民族宗教与侨务工作；负责城</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建设规划的编制，城镇、</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村建设工作；负责土地使用、管理及其相关工作；完成党委、政府分配的其他中心工作。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6、社会治安和应急管理办公室：负责贯彻执行上级有关基层社会治安综合治理和应急管理工作的方针、政策和法律法规；健全</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、村两级社会治安（平安建设）、信访维稳、网格化管理等工作，指导协调民事纠纷调解处理工作；加强法制教育，广泛开展农村普法宣传；加强对外来人口的管理，开展 “两劳”人员的帮教工作，强化社会治安；负责安全生产监管、防汛抗旱、防灾减灾、抗震救灾、森林防火等工作；承办</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党委、政府和上级主管部门交办的其他事项。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7、自然资源和生态环境办公室：负责实施村规划和村镇建设管理等工作。监督、指导公共基础设施建设等。按照管理权限，指导、协调和实施自然资源、林政管理、造林绿化、生态环境保护等工作，组织协调生态环境污染事故与生态破坏事件查处，承办</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党委、政府和上级主管部门交办的其他事项。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8、综合行政执法大队：按照有关法律规定相对集中行使行政处罚权，以</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名义开展执法工作，并接受有关县级主管部门的业务指导和监督，逐步实现一支队伍管执法；承办</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党委、政府和上级主管部门交办的其他事项。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（二）机构设置情况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安坪镇</w:t>
      </w:r>
      <w:r>
        <w:rPr>
          <w:rFonts w:hint="default" w:ascii="仿宋" w:hAnsi="仿宋" w:eastAsia="仿宋" w:cs="仿宋"/>
          <w:kern w:val="0"/>
          <w:sz w:val="32"/>
          <w:szCs w:val="32"/>
          <w:lang w:val="en-US" w:eastAsia="zh-CN" w:bidi="ar-SA"/>
        </w:rPr>
        <w:t>人民政府作为一级部门预算单位，纳入</w:t>
      </w:r>
      <w:r>
        <w:rPr>
          <w:rFonts w:hint="eastAsia" w:ascii="仿宋" w:hAnsi="仿宋" w:eastAsia="仿宋" w:cs="仿宋"/>
          <w:kern w:val="0"/>
          <w:sz w:val="32"/>
          <w:szCs w:val="32"/>
          <w:lang w:val="en-US" w:eastAsia="zh-CN" w:bidi="ar-SA"/>
        </w:rPr>
        <w:t>2024</w:t>
      </w:r>
      <w:r>
        <w:rPr>
          <w:rFonts w:hint="default" w:ascii="仿宋" w:hAnsi="仿宋" w:eastAsia="仿宋" w:cs="仿宋"/>
          <w:kern w:val="0"/>
          <w:sz w:val="32"/>
          <w:szCs w:val="32"/>
          <w:lang w:val="en-US" w:eastAsia="zh-CN" w:bidi="ar-SA"/>
        </w:rPr>
        <w:t>年部门预算编制范围的二级部门预算单位包括：党政办公室、党建办公室、经济发展办公室、社会事务办公室、社会治安和应急管理办公室、自然资源和生态环境办公室、社会事务综合服务中心、农业综合服务中心、便民服务中心、综合行政执法大队等部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360" w:lineRule="auto"/>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（二）</w:t>
      </w:r>
      <w:r>
        <w:rPr>
          <w:rFonts w:hint="eastAsia" w:ascii="仿宋" w:hAnsi="仿宋" w:eastAsia="仿宋" w:cs="仿宋"/>
          <w:b/>
          <w:bCs/>
          <w:kern w:val="0"/>
          <w:sz w:val="32"/>
          <w:szCs w:val="32"/>
        </w:rPr>
        <w:t>人员情况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人员情况：截至</w:t>
      </w:r>
      <w:r>
        <w:rPr>
          <w:rFonts w:hint="eastAsia" w:ascii="仿宋" w:hAnsi="仿宋" w:eastAsia="仿宋" w:cs="仿宋"/>
          <w:sz w:val="32"/>
          <w:szCs w:val="32"/>
          <w:lang w:eastAsia="zh-CN"/>
        </w:rPr>
        <w:t>2024</w:t>
      </w:r>
      <w:r>
        <w:rPr>
          <w:rFonts w:hint="eastAsia" w:ascii="仿宋" w:hAnsi="仿宋" w:eastAsia="仿宋" w:cs="仿宋"/>
          <w:sz w:val="32"/>
          <w:szCs w:val="32"/>
        </w:rPr>
        <w:t>年底，</w:t>
      </w:r>
      <w:r>
        <w:rPr>
          <w:rFonts w:hint="eastAsia" w:ascii="仿宋" w:hAnsi="仿宋" w:eastAsia="仿宋" w:cs="仿宋"/>
          <w:sz w:val="32"/>
          <w:szCs w:val="32"/>
          <w:lang w:eastAsia="zh-CN"/>
        </w:rPr>
        <w:t>安坪镇</w:t>
      </w:r>
      <w:r>
        <w:rPr>
          <w:rFonts w:hint="eastAsia" w:ascii="仿宋" w:hAnsi="仿宋" w:eastAsia="仿宋" w:cs="仿宋"/>
          <w:sz w:val="32"/>
          <w:szCs w:val="32"/>
        </w:rPr>
        <w:t>人民政府核定人员编制</w:t>
      </w:r>
      <w:r>
        <w:rPr>
          <w:rFonts w:hint="eastAsia" w:ascii="仿宋" w:hAnsi="仿宋" w:eastAsia="仿宋" w:cs="仿宋"/>
          <w:sz w:val="32"/>
          <w:szCs w:val="32"/>
          <w:lang w:val="en-US" w:eastAsia="zh-CN"/>
        </w:rPr>
        <w:t>80</w:t>
      </w:r>
      <w:r>
        <w:rPr>
          <w:rFonts w:hint="eastAsia" w:ascii="仿宋" w:hAnsi="仿宋" w:eastAsia="仿宋" w:cs="仿宋"/>
          <w:sz w:val="32"/>
          <w:szCs w:val="32"/>
        </w:rPr>
        <w:t>人，行政编制</w:t>
      </w:r>
      <w:r>
        <w:rPr>
          <w:rFonts w:hint="eastAsia" w:ascii="仿宋" w:hAnsi="仿宋" w:eastAsia="仿宋" w:cs="仿宋"/>
          <w:sz w:val="32"/>
          <w:szCs w:val="32"/>
          <w:lang w:val="en-US" w:eastAsia="zh-CN"/>
        </w:rPr>
        <w:t>31</w:t>
      </w:r>
      <w:r>
        <w:rPr>
          <w:rFonts w:hint="eastAsia" w:ascii="仿宋" w:hAnsi="仿宋" w:eastAsia="仿宋" w:cs="仿宋"/>
          <w:sz w:val="32"/>
          <w:szCs w:val="32"/>
        </w:rPr>
        <w:t>人，事业编制</w:t>
      </w:r>
      <w:r>
        <w:rPr>
          <w:rFonts w:hint="eastAsia" w:ascii="仿宋" w:hAnsi="仿宋" w:eastAsia="仿宋" w:cs="仿宋"/>
          <w:sz w:val="32"/>
          <w:szCs w:val="32"/>
          <w:lang w:val="en-US" w:eastAsia="zh-CN"/>
        </w:rPr>
        <w:t>49</w:t>
      </w:r>
      <w:r>
        <w:rPr>
          <w:rFonts w:hint="eastAsia" w:ascii="仿宋" w:hAnsi="仿宋" w:eastAsia="仿宋" w:cs="仿宋"/>
          <w:sz w:val="32"/>
          <w:szCs w:val="32"/>
        </w:rPr>
        <w:t>人；实际在编</w:t>
      </w:r>
      <w:r>
        <w:rPr>
          <w:rFonts w:hint="eastAsia" w:ascii="仿宋" w:hAnsi="仿宋" w:eastAsia="仿宋" w:cs="仿宋"/>
          <w:sz w:val="32"/>
          <w:szCs w:val="32"/>
          <w:lang w:val="en-US" w:eastAsia="zh-CN"/>
        </w:rPr>
        <w:t>66</w:t>
      </w:r>
      <w:r>
        <w:rPr>
          <w:rFonts w:hint="eastAsia" w:ascii="仿宋" w:hAnsi="仿宋" w:eastAsia="仿宋" w:cs="仿宋"/>
          <w:sz w:val="32"/>
          <w:szCs w:val="32"/>
        </w:rPr>
        <w:t>人（行政编制</w:t>
      </w:r>
      <w:r>
        <w:rPr>
          <w:rFonts w:hint="eastAsia" w:ascii="仿宋" w:hAnsi="仿宋" w:eastAsia="仿宋" w:cs="仿宋"/>
          <w:sz w:val="32"/>
          <w:szCs w:val="32"/>
          <w:lang w:val="en-US" w:eastAsia="zh-CN"/>
        </w:rPr>
        <w:t>32</w:t>
      </w:r>
      <w:r>
        <w:rPr>
          <w:rFonts w:hint="eastAsia" w:ascii="仿宋" w:hAnsi="仿宋" w:eastAsia="仿宋" w:cs="仿宋"/>
          <w:sz w:val="32"/>
          <w:szCs w:val="32"/>
        </w:rPr>
        <w:t>人，事业编制</w:t>
      </w:r>
      <w:r>
        <w:rPr>
          <w:rFonts w:hint="eastAsia" w:ascii="仿宋" w:hAnsi="仿宋" w:eastAsia="仿宋" w:cs="仿宋"/>
          <w:sz w:val="32"/>
          <w:szCs w:val="32"/>
          <w:lang w:val="en-US" w:eastAsia="zh-CN"/>
        </w:rPr>
        <w:t>34</w:t>
      </w:r>
      <w:r>
        <w:rPr>
          <w:rFonts w:hint="eastAsia" w:ascii="仿宋" w:hAnsi="仿宋" w:eastAsia="仿宋" w:cs="仿宋"/>
          <w:sz w:val="32"/>
          <w:szCs w:val="32"/>
        </w:rPr>
        <w:t>人），财政实际供给</w:t>
      </w:r>
      <w:r>
        <w:rPr>
          <w:rFonts w:hint="eastAsia" w:ascii="仿宋" w:hAnsi="仿宋" w:eastAsia="仿宋" w:cs="仿宋"/>
          <w:sz w:val="32"/>
          <w:szCs w:val="32"/>
          <w:lang w:val="en-US" w:eastAsia="zh-CN"/>
        </w:rPr>
        <w:t>66</w:t>
      </w:r>
      <w:r>
        <w:rPr>
          <w:rFonts w:hint="eastAsia" w:ascii="仿宋" w:hAnsi="仿宋" w:eastAsia="仿宋" w:cs="仿宋"/>
          <w:sz w:val="32"/>
          <w:szCs w:val="32"/>
        </w:rPr>
        <w:t>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360" w:lineRule="auto"/>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rPr>
        <w:t>部门年度总体工作任务和重点工作任务</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黑体"/>
          <w:sz w:val="32"/>
          <w:szCs w:val="32"/>
        </w:rPr>
      </w:pPr>
      <w:r>
        <w:rPr>
          <w:rFonts w:hint="eastAsia" w:ascii="仿宋" w:hAnsi="仿宋" w:eastAsia="仿宋" w:cs="仿宋"/>
          <w:kern w:val="0"/>
          <w:sz w:val="32"/>
          <w:szCs w:val="32"/>
        </w:rPr>
        <w:t>总体工作任务为执行</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人民代表大会的决议和上级国家行政机关的决定和命令；发展和管理本辖区的经济、教育、科学、文化、卫生、体育事业和财政、民政、公安、司法行政、计划生育等行政工作；维护社会秩序，确保社会稳定，保障公民的人身权利、民主权利和其他权利。重点工作任务为做好防灾减灾、优抚安置、低保、扶贫救济等社会救助工作；开展疫情防控工作；</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村环境卫生整治工作等。</w:t>
      </w:r>
    </w:p>
    <w:p>
      <w:pPr>
        <w:pStyle w:val="8"/>
        <w:widowControl/>
        <w:numPr>
          <w:ilvl w:val="0"/>
          <w:numId w:val="1"/>
        </w:numPr>
        <w:spacing w:line="600" w:lineRule="exact"/>
        <w:ind w:left="640" w:firstLine="0" w:firstLineChars="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一般公共预算支出情况</w:t>
      </w:r>
    </w:p>
    <w:p>
      <w:pPr>
        <w:pStyle w:val="8"/>
        <w:widowControl/>
        <w:numPr>
          <w:ilvl w:val="0"/>
          <w:numId w:val="2"/>
        </w:numPr>
        <w:spacing w:line="600" w:lineRule="exact"/>
        <w:ind w:left="640" w:firstLine="0" w:firstLineChars="0"/>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基本支出情况</w:t>
      </w:r>
    </w:p>
    <w:p>
      <w:pPr>
        <w:pStyle w:val="8"/>
        <w:widowControl/>
        <w:numPr>
          <w:ilvl w:val="0"/>
          <w:numId w:val="0"/>
        </w:numPr>
        <w:spacing w:line="600" w:lineRule="exact"/>
        <w:ind w:left="640" w:leftChars="0"/>
        <w:rPr>
          <w:rFonts w:hint="default" w:ascii="Times New Roman" w:hAnsi="Times New Roman" w:eastAsia="仿宋"/>
          <w:sz w:val="32"/>
          <w:szCs w:val="32"/>
          <w:lang w:val="en-US" w:eastAsia="zh-CN"/>
        </w:rPr>
      </w:pPr>
      <w:r>
        <w:rPr>
          <w:rFonts w:hint="eastAsia" w:ascii="仿宋" w:hAnsi="仿宋" w:eastAsia="仿宋" w:cs="仿宋"/>
          <w:kern w:val="0"/>
          <w:sz w:val="32"/>
          <w:szCs w:val="32"/>
          <w:lang w:val="en-US" w:eastAsia="zh-CN"/>
        </w:rPr>
        <w:t>2024年一般公共</w:t>
      </w:r>
      <w:r>
        <w:rPr>
          <w:rFonts w:hint="eastAsia" w:ascii="仿宋" w:hAnsi="仿宋" w:eastAsia="仿宋" w:cs="仿宋"/>
          <w:kern w:val="0"/>
          <w:sz w:val="32"/>
          <w:szCs w:val="32"/>
        </w:rPr>
        <w:t>预算支出合计</w:t>
      </w:r>
      <w:r>
        <w:rPr>
          <w:rFonts w:hint="eastAsia" w:ascii="仿宋" w:hAnsi="仿宋" w:eastAsia="仿宋" w:cs="仿宋"/>
          <w:kern w:val="0"/>
          <w:sz w:val="32"/>
          <w:szCs w:val="32"/>
          <w:lang w:val="en-US" w:eastAsia="zh-CN"/>
        </w:rPr>
        <w:t>1280.32</w:t>
      </w:r>
      <w:r>
        <w:rPr>
          <w:rFonts w:hint="eastAsia" w:ascii="仿宋" w:hAnsi="仿宋" w:eastAsia="仿宋" w:cs="仿宋"/>
          <w:kern w:val="0"/>
          <w:sz w:val="32"/>
          <w:szCs w:val="32"/>
        </w:rPr>
        <w:t>万元，其中：基本支出</w:t>
      </w:r>
      <w:r>
        <w:rPr>
          <w:rFonts w:hint="eastAsia" w:ascii="仿宋" w:hAnsi="仿宋" w:eastAsia="仿宋" w:cs="仿宋"/>
          <w:kern w:val="0"/>
          <w:sz w:val="32"/>
          <w:szCs w:val="32"/>
          <w:lang w:val="en-US" w:eastAsia="zh-CN"/>
        </w:rPr>
        <w:t>1280.32</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基本支出中工资福利支出</w:t>
      </w:r>
      <w:r>
        <w:rPr>
          <w:rFonts w:hint="eastAsia" w:ascii="仿宋" w:hAnsi="仿宋" w:eastAsia="仿宋" w:cs="仿宋"/>
          <w:kern w:val="0"/>
          <w:sz w:val="32"/>
          <w:szCs w:val="32"/>
          <w:lang w:val="en-US" w:eastAsia="zh-CN"/>
        </w:rPr>
        <w:t>909.06万元，占比71%，商品和服务支出359.13万元，占比28%；对个人和家庭的补助12.13万元，占比0.94%。</w:t>
      </w:r>
    </w:p>
    <w:p>
      <w:pPr>
        <w:pStyle w:val="8"/>
        <w:widowControl/>
        <w:numPr>
          <w:ilvl w:val="0"/>
          <w:numId w:val="2"/>
        </w:numPr>
        <w:spacing w:line="600" w:lineRule="exact"/>
        <w:ind w:left="640" w:firstLine="0" w:firstLineChars="0"/>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项目支出情况</w:t>
      </w:r>
    </w:p>
    <w:p>
      <w:pPr>
        <w:pStyle w:val="8"/>
        <w:widowControl/>
        <w:numPr>
          <w:ilvl w:val="0"/>
          <w:numId w:val="0"/>
        </w:numPr>
        <w:spacing w:line="600" w:lineRule="exact"/>
        <w:ind w:left="640" w:leftChars="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2024年一般公共预算支出合计1280.32万元，其中项目支出0万元，占比0%；其中基础设施建设支出0万元，占项目支出0%。</w:t>
      </w:r>
    </w:p>
    <w:p>
      <w:pPr>
        <w:pStyle w:val="8"/>
        <w:widowControl/>
        <w:numPr>
          <w:ilvl w:val="0"/>
          <w:numId w:val="1"/>
        </w:numPr>
        <w:spacing w:line="600" w:lineRule="exact"/>
        <w:ind w:left="640" w:firstLine="0" w:firstLineChars="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政府性基金预算支出情况</w:t>
      </w:r>
    </w:p>
    <w:p>
      <w:pPr>
        <w:pStyle w:val="8"/>
        <w:widowControl/>
        <w:numPr>
          <w:ilvl w:val="0"/>
          <w:numId w:val="0"/>
        </w:numPr>
        <w:spacing w:line="600" w:lineRule="exact"/>
        <w:ind w:left="640" w:leftChars="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2024年政府性基金拨款29.56万元，拆迁和征地补偿支出2.56万元，占比8.67%，维修支出0万元，占比0%。</w:t>
      </w:r>
    </w:p>
    <w:p>
      <w:pPr>
        <w:pStyle w:val="8"/>
        <w:widowControl/>
        <w:numPr>
          <w:ilvl w:val="0"/>
          <w:numId w:val="1"/>
        </w:numPr>
        <w:spacing w:line="600" w:lineRule="exact"/>
        <w:ind w:left="640" w:leftChars="0" w:firstLine="0" w:firstLineChars="0"/>
        <w:jc w:val="left"/>
        <w:rPr>
          <w:rFonts w:hint="eastAsia" w:ascii="Times New Roman" w:hAnsi="Times New Roman" w:eastAsia="黑体"/>
          <w:sz w:val="32"/>
          <w:szCs w:val="32"/>
        </w:rPr>
      </w:pPr>
      <w:r>
        <w:rPr>
          <w:rFonts w:hint="eastAsia" w:ascii="Times New Roman" w:hAnsi="Times New Roman" w:eastAsia="黑体"/>
          <w:sz w:val="32"/>
          <w:szCs w:val="32"/>
        </w:rPr>
        <w:t>国有资本经营预算支出情况</w:t>
      </w:r>
    </w:p>
    <w:p>
      <w:pPr>
        <w:pStyle w:val="8"/>
        <w:widowControl/>
        <w:numPr>
          <w:ilvl w:val="0"/>
          <w:numId w:val="0"/>
        </w:numPr>
        <w:spacing w:line="600" w:lineRule="exact"/>
        <w:ind w:left="640" w:leftChars="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无</w:t>
      </w:r>
    </w:p>
    <w:p>
      <w:pPr>
        <w:pStyle w:val="8"/>
        <w:widowControl/>
        <w:numPr>
          <w:ilvl w:val="0"/>
          <w:numId w:val="1"/>
        </w:numPr>
        <w:spacing w:line="600" w:lineRule="exact"/>
        <w:ind w:left="640" w:leftChars="0" w:firstLine="0" w:firstLineChars="0"/>
        <w:jc w:val="left"/>
        <w:rPr>
          <w:rFonts w:hint="eastAsia" w:ascii="Times New Roman" w:hAnsi="Times New Roman" w:eastAsia="黑体"/>
          <w:sz w:val="32"/>
          <w:szCs w:val="32"/>
        </w:rPr>
      </w:pPr>
      <w:r>
        <w:rPr>
          <w:rFonts w:hint="eastAsia" w:ascii="Times New Roman" w:hAnsi="Times New Roman" w:eastAsia="黑体"/>
          <w:sz w:val="32"/>
          <w:szCs w:val="32"/>
        </w:rPr>
        <w:t>社会保险基金预算支出情况</w:t>
      </w:r>
    </w:p>
    <w:p>
      <w:pPr>
        <w:pStyle w:val="8"/>
        <w:widowControl/>
        <w:numPr>
          <w:ilvl w:val="0"/>
          <w:numId w:val="0"/>
        </w:numPr>
        <w:spacing w:line="600" w:lineRule="exact"/>
        <w:ind w:left="640" w:leftChars="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无</w:t>
      </w:r>
    </w:p>
    <w:p>
      <w:pPr>
        <w:widowControl/>
        <w:numPr>
          <w:ilvl w:val="0"/>
          <w:numId w:val="1"/>
        </w:numPr>
        <w:spacing w:line="600" w:lineRule="exact"/>
        <w:ind w:left="640" w:leftChars="0" w:firstLine="0" w:firstLineChars="0"/>
        <w:jc w:val="left"/>
        <w:rPr>
          <w:rFonts w:hint="eastAsia" w:eastAsia="黑体"/>
          <w:sz w:val="32"/>
          <w:szCs w:val="32"/>
        </w:rPr>
      </w:pPr>
      <w:r>
        <w:rPr>
          <w:rFonts w:hint="eastAsia" w:eastAsia="黑体"/>
          <w:sz w:val="32"/>
          <w:szCs w:val="32"/>
        </w:rPr>
        <w:t>部门整体支出绩效情况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（一）投入情况分析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en-US" w:eastAsia="zh-CN"/>
        </w:rPr>
        <w:t>2024年</w:t>
      </w:r>
      <w:r>
        <w:rPr>
          <w:rFonts w:hint="eastAsia" w:ascii="仿宋" w:hAnsi="仿宋" w:eastAsia="仿宋" w:cs="仿宋"/>
          <w:kern w:val="0"/>
          <w:sz w:val="32"/>
          <w:szCs w:val="32"/>
          <w:lang w:eastAsia="zh-CN"/>
        </w:rPr>
        <w:t>全年</w:t>
      </w:r>
      <w:r>
        <w:rPr>
          <w:rFonts w:hint="eastAsia" w:ascii="仿宋" w:hAnsi="仿宋" w:eastAsia="仿宋" w:cs="仿宋"/>
          <w:kern w:val="0"/>
          <w:sz w:val="32"/>
          <w:szCs w:val="32"/>
        </w:rPr>
        <w:t>预算收入</w:t>
      </w:r>
      <w:r>
        <w:rPr>
          <w:rFonts w:hint="eastAsia" w:ascii="仿宋" w:hAnsi="仿宋" w:eastAsia="仿宋" w:cs="仿宋"/>
          <w:kern w:val="0"/>
          <w:sz w:val="32"/>
          <w:szCs w:val="32"/>
          <w:lang w:val="en-US" w:eastAsia="zh-CN"/>
        </w:rPr>
        <w:t>1745.65</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一般公共预算</w:t>
      </w:r>
      <w:r>
        <w:rPr>
          <w:rFonts w:hint="eastAsia" w:ascii="仿宋" w:hAnsi="仿宋" w:eastAsia="仿宋" w:cs="仿宋"/>
          <w:kern w:val="0"/>
          <w:sz w:val="32"/>
          <w:szCs w:val="32"/>
          <w:lang w:val="en-US" w:eastAsia="zh-CN"/>
        </w:rPr>
        <w:t>1280.32万元，占比73.34%；其他收入465.33万元，占比26.66%。</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（二）执行管理情况分析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zh-CN"/>
        </w:rPr>
        <w:t>我</w:t>
      </w:r>
      <w:r>
        <w:rPr>
          <w:rFonts w:hint="eastAsia" w:ascii="仿宋" w:hAnsi="仿宋" w:eastAsia="仿宋" w:cs="仿宋"/>
          <w:kern w:val="0"/>
          <w:sz w:val="32"/>
          <w:szCs w:val="32"/>
          <w:lang w:val="en-US" w:eastAsia="zh-CN"/>
        </w:rPr>
        <w:t>镇</w:t>
      </w:r>
      <w:r>
        <w:rPr>
          <w:rFonts w:hint="eastAsia" w:ascii="仿宋" w:hAnsi="仿宋" w:eastAsia="仿宋" w:cs="仿宋"/>
          <w:kern w:val="0"/>
          <w:sz w:val="32"/>
          <w:szCs w:val="32"/>
          <w:lang w:val="zh-CN"/>
        </w:rPr>
        <w:t>及时组织财务人员进行预决算的编制，</w:t>
      </w:r>
      <w:r>
        <w:rPr>
          <w:rFonts w:hint="eastAsia" w:ascii="仿宋" w:hAnsi="仿宋" w:eastAsia="仿宋" w:cs="仿宋"/>
          <w:kern w:val="0"/>
          <w:sz w:val="32"/>
          <w:szCs w:val="32"/>
        </w:rPr>
        <w:t>按时完成</w:t>
      </w: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年预算编制及公开，</w:t>
      </w:r>
      <w:r>
        <w:rPr>
          <w:rFonts w:hint="eastAsia" w:ascii="仿宋" w:hAnsi="仿宋" w:eastAsia="仿宋" w:cs="仿宋"/>
          <w:kern w:val="0"/>
          <w:sz w:val="32"/>
          <w:szCs w:val="32"/>
          <w:lang w:val="zh-CN"/>
        </w:rPr>
        <w:t>对本年度相应用款进行及时清理和处理，做到账账相符、账实相符、账证相符，按先有预算再支出的原则，及时处理相关事务；对年度绩效目标进行季度梳理和年度分析，及时上报相关报表；对专项预算提前细化，分科目上报，做到收支平衡。</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（三）支出绩效情况分析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年决算支出为</w:t>
      </w:r>
      <w:r>
        <w:rPr>
          <w:rFonts w:hint="eastAsia" w:ascii="仿宋" w:hAnsi="仿宋" w:eastAsia="仿宋" w:cs="仿宋"/>
          <w:kern w:val="0"/>
          <w:sz w:val="32"/>
          <w:szCs w:val="32"/>
          <w:lang w:val="en-US" w:eastAsia="zh-CN"/>
        </w:rPr>
        <w:t>1745.65</w:t>
      </w:r>
      <w:r>
        <w:rPr>
          <w:rFonts w:hint="eastAsia" w:ascii="仿宋" w:hAnsi="仿宋" w:eastAsia="仿宋" w:cs="仿宋"/>
          <w:kern w:val="0"/>
          <w:sz w:val="32"/>
          <w:szCs w:val="32"/>
        </w:rPr>
        <w:t>万元，执行率为</w:t>
      </w:r>
      <w:r>
        <w:rPr>
          <w:rFonts w:hint="eastAsia" w:ascii="仿宋" w:hAnsi="仿宋" w:eastAsia="仿宋" w:cs="仿宋"/>
          <w:kern w:val="0"/>
          <w:sz w:val="32"/>
          <w:szCs w:val="32"/>
          <w:lang w:val="en-US" w:eastAsia="zh-CN"/>
        </w:rPr>
        <w:t>99.95</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年决算数较202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年有</w:t>
      </w:r>
      <w:r>
        <w:rPr>
          <w:rFonts w:hint="eastAsia" w:ascii="仿宋" w:hAnsi="仿宋" w:eastAsia="仿宋" w:cs="仿宋"/>
          <w:kern w:val="0"/>
          <w:sz w:val="32"/>
          <w:szCs w:val="32"/>
          <w:lang w:eastAsia="zh-CN"/>
        </w:rPr>
        <w:t>所提高</w:t>
      </w:r>
      <w:r>
        <w:rPr>
          <w:rFonts w:hint="eastAsia" w:ascii="仿宋" w:hAnsi="仿宋" w:eastAsia="仿宋" w:cs="仿宋"/>
          <w:kern w:val="0"/>
          <w:sz w:val="32"/>
          <w:szCs w:val="32"/>
        </w:rPr>
        <w:t>，主要</w:t>
      </w:r>
      <w:r>
        <w:rPr>
          <w:rFonts w:hint="eastAsia" w:ascii="仿宋" w:hAnsi="仿宋" w:eastAsia="仿宋" w:cs="仿宋"/>
          <w:kern w:val="0"/>
          <w:sz w:val="32"/>
          <w:szCs w:val="32"/>
          <w:lang w:val="en-US" w:eastAsia="zh-CN"/>
        </w:rPr>
        <w:t>原因在2024年人居环境、镇村振兴、农村基础设施建设、防火防汛等工作投入资金</w:t>
      </w:r>
      <w:r>
        <w:rPr>
          <w:rFonts w:hint="eastAsia" w:ascii="仿宋" w:hAnsi="仿宋" w:eastAsia="仿宋" w:cs="仿宋"/>
          <w:kern w:val="0"/>
          <w:sz w:val="32"/>
          <w:szCs w:val="32"/>
          <w:lang w:eastAsia="zh-CN"/>
        </w:rPr>
        <w:t>，各项</w:t>
      </w:r>
      <w:r>
        <w:rPr>
          <w:rFonts w:hint="eastAsia" w:ascii="仿宋" w:hAnsi="仿宋" w:eastAsia="仿宋" w:cs="仿宋"/>
          <w:kern w:val="0"/>
          <w:sz w:val="32"/>
          <w:szCs w:val="32"/>
          <w:lang w:val="en-US" w:eastAsia="zh-CN"/>
        </w:rPr>
        <w:t>工作都很好地完成，群众满意度较高。</w:t>
      </w:r>
    </w:p>
    <w:p>
      <w:pPr>
        <w:keepNext w:val="0"/>
        <w:keepLines w:val="0"/>
        <w:pageBreakBefore w:val="0"/>
        <w:widowControl w:val="0"/>
        <w:numPr>
          <w:ilvl w:val="0"/>
          <w:numId w:val="2"/>
        </w:numPr>
        <w:kinsoku/>
        <w:wordWrap/>
        <w:overflowPunct/>
        <w:topLinePunct w:val="0"/>
        <w:autoSpaceDE/>
        <w:autoSpaceDN/>
        <w:bidi w:val="0"/>
        <w:adjustRightInd w:val="0"/>
        <w:snapToGrid w:val="0"/>
        <w:spacing w:after="157" w:afterLines="50" w:line="360" w:lineRule="auto"/>
        <w:ind w:left="64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资产管理情况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镇严格按照《资产管理制度》，明确了资产配置、资产采购、资产使用、资产调配、资产报废等各环节的流程及审批权限，并严格按照制度执行，以确保固定资产配置合理、采购合规、使用高效、管理规范。一是指定由专人负责资产管理工作；二是共享共用，盘活存量资产。对打印机、传真机等均做到了共享共用；对于已达报废年限、尚可使用的资产，坚持能用则用的原则，最大程度发挥资产使用效益；三是合理配置、采购有序。我镇严格按照财政资产配置相关标准并结合单位资产使用情况，申报采购。</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截止2024年年末，安坪镇国有资产</w:t>
      </w:r>
      <w:r>
        <w:rPr>
          <w:rFonts w:hint="eastAsia" w:ascii="仿宋" w:hAnsi="仿宋" w:eastAsia="仿宋" w:cs="仿宋"/>
          <w:color w:val="auto"/>
          <w:spacing w:val="9"/>
          <w:sz w:val="29"/>
          <w:szCs w:val="29"/>
          <w:highlight w:val="none"/>
        </w:rPr>
        <w:t>1,147.53</w:t>
      </w:r>
      <w:r>
        <w:rPr>
          <w:rFonts w:hint="eastAsia" w:ascii="仿宋" w:hAnsi="仿宋" w:eastAsia="仿宋" w:cs="仿宋"/>
          <w:kern w:val="0"/>
          <w:sz w:val="32"/>
          <w:szCs w:val="32"/>
          <w:lang w:val="en-US" w:eastAsia="zh-CN"/>
        </w:rPr>
        <w:t>万元，占资产总额100%。固定资产总额477.30万元，土地、房屋及建筑物411万元，占比86.1%；设备30.6万元，占比6.4%；家具、用具35.2万元，占比7.37%。</w:t>
      </w:r>
    </w:p>
    <w:p>
      <w:pPr>
        <w:pStyle w:val="8"/>
        <w:widowControl/>
        <w:spacing w:line="600" w:lineRule="exact"/>
        <w:jc w:val="left"/>
        <w:rPr>
          <w:rFonts w:ascii="Times New Roman" w:hAnsi="Times New Roman" w:eastAsia="黑体"/>
          <w:sz w:val="32"/>
          <w:szCs w:val="32"/>
        </w:rPr>
      </w:pPr>
      <w:r>
        <w:rPr>
          <w:rFonts w:hint="eastAsia" w:ascii="Times New Roman" w:hAnsi="Times New Roman" w:eastAsia="黑体"/>
          <w:sz w:val="32"/>
          <w:szCs w:val="32"/>
        </w:rPr>
        <w:t>七、存在的问题及原因分析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部门绩效目标设置不够完备。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2.</w:t>
      </w:r>
      <w:r>
        <w:rPr>
          <w:rFonts w:hint="eastAsia" w:ascii="仿宋" w:hAnsi="仿宋" w:eastAsia="仿宋" w:cs="仿宋"/>
          <w:kern w:val="0"/>
          <w:sz w:val="32"/>
          <w:szCs w:val="32"/>
          <w:lang w:eastAsia="zh-CN"/>
        </w:rPr>
        <w:t>预算编制不够扎实。在预算执行过程中调整变动较大，客观存在实际支出与年初预算发生偏差。</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3、部分款项支付不及时。</w:t>
      </w:r>
    </w:p>
    <w:p>
      <w:pPr>
        <w:widowControl/>
        <w:spacing w:line="600" w:lineRule="exact"/>
        <w:ind w:firstLine="640" w:firstLineChars="200"/>
        <w:jc w:val="left"/>
        <w:rPr>
          <w:rFonts w:hint="eastAsia" w:eastAsia="黑体"/>
          <w:sz w:val="32"/>
          <w:szCs w:val="32"/>
        </w:rPr>
      </w:pPr>
      <w:r>
        <w:rPr>
          <w:rFonts w:hint="eastAsia" w:eastAsia="黑体"/>
          <w:sz w:val="32"/>
          <w:szCs w:val="32"/>
        </w:rPr>
        <w:t>八、下一步改进措施</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进一步规范绩效目标编制。在编制绩效目标时，要求指向明确，细化量化、合理可行。</w:t>
      </w:r>
      <w:r>
        <w:rPr>
          <w:rFonts w:hint="eastAsia" w:ascii="仿宋" w:hAnsi="仿宋" w:eastAsia="仿宋" w:cs="仿宋"/>
          <w:kern w:val="0"/>
          <w:sz w:val="32"/>
          <w:szCs w:val="32"/>
        </w:rPr>
        <w:t>进一步加强单位内部机构各</w:t>
      </w:r>
      <w:r>
        <w:rPr>
          <w:rFonts w:hint="eastAsia" w:ascii="仿宋" w:hAnsi="仿宋" w:eastAsia="仿宋" w:cs="仿宋"/>
          <w:kern w:val="0"/>
          <w:sz w:val="32"/>
          <w:szCs w:val="32"/>
          <w:lang w:eastAsia="zh-CN"/>
        </w:rPr>
        <w:t>部门</w:t>
      </w:r>
      <w:r>
        <w:rPr>
          <w:rFonts w:hint="eastAsia" w:ascii="仿宋" w:hAnsi="仿宋" w:eastAsia="仿宋" w:cs="仿宋"/>
          <w:kern w:val="0"/>
          <w:sz w:val="32"/>
          <w:szCs w:val="32"/>
        </w:rPr>
        <w:t>的预算管理意识，严格按照预算编制的相关制度和要求进行预算编制</w:t>
      </w:r>
      <w:r>
        <w:rPr>
          <w:rFonts w:hint="eastAsia" w:ascii="仿宋" w:hAnsi="仿宋" w:eastAsia="仿宋" w:cs="仿宋"/>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2.加快预算执行力度，强化预算约束。增强预算的刚性约束，严格做到“无预算不支出”，强化预算对执行的控制。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eastAsia="黑体"/>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spacing w:line="360" w:lineRule="auto"/>
        <w:ind w:firstLine="645"/>
        <w:jc w:val="left"/>
        <w:textAlignment w:val="auto"/>
        <w:rPr>
          <w:rFonts w:hint="eastAsia" w:eastAsia="黑体"/>
          <w:sz w:val="32"/>
          <w:szCs w:val="32"/>
        </w:rPr>
      </w:pPr>
      <w:r>
        <w:rPr>
          <w:rFonts w:hint="eastAsia" w:eastAsia="黑体"/>
          <w:sz w:val="32"/>
          <w:szCs w:val="32"/>
        </w:rPr>
        <w:t>九、部门整体支出绩效自评结果拟应用和公开情况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镇将于公开2024年决算安坪镇人民政府决算报告时同步在安坪镇门户网站上全文公开部门整体支出绩效自评报告，接受社会公众监督。通过开展绩效自评工作，一方面提高我镇工作人员的绩效管理意识，对自评过程中发现的问题及时督促各部门加以整改，巩固绩效成果；另一方面充分发挥绩效评价体系作用，做到绩效有目标，过程有监督，绩效有评价，评价有反馈，反馈有应用。</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eastAsia="黑体"/>
          <w:sz w:val="32"/>
          <w:szCs w:val="32"/>
        </w:rPr>
      </w:pPr>
      <w:r>
        <w:rPr>
          <w:rFonts w:hint="eastAsia" w:eastAsia="黑体"/>
          <w:sz w:val="32"/>
          <w:szCs w:val="32"/>
        </w:rPr>
        <w:t>其他需要说明的情况</w:t>
      </w:r>
    </w:p>
    <w:p>
      <w:pPr>
        <w:widowControl w:val="0"/>
        <w:numPr>
          <w:ilvl w:val="0"/>
          <w:numId w:val="0"/>
        </w:numPr>
        <w:tabs>
          <w:tab w:val="left" w:pos="1420"/>
        </w:tabs>
        <w:jc w:val="both"/>
        <w:rPr>
          <w:rFonts w:hint="eastAsia"/>
          <w:lang w:eastAsia="zh-CN"/>
        </w:rPr>
      </w:pPr>
      <w:r>
        <w:rPr>
          <w:rFonts w:hint="eastAsia"/>
          <w:lang w:eastAsia="zh-CN"/>
        </w:rPr>
        <w:tab/>
      </w:r>
      <w:r>
        <w:rPr>
          <w:rFonts w:hint="eastAsia"/>
          <w:lang w:eastAsia="zh-CN"/>
        </w:rPr>
        <w:t>无</w:t>
      </w:r>
    </w:p>
    <w:p>
      <w:pPr>
        <w:widowControl w:val="0"/>
        <w:numPr>
          <w:ilvl w:val="0"/>
          <w:numId w:val="0"/>
        </w:numPr>
        <w:tabs>
          <w:tab w:val="left" w:pos="1420"/>
        </w:tabs>
        <w:ind w:firstLine="643" w:firstLineChars="200"/>
        <w:jc w:val="both"/>
        <w:rPr>
          <w:rFonts w:hint="eastAsia" w:ascii="Arial" w:hAnsi="Arial" w:eastAsia="黑体" w:cs="Times New Roman"/>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0" w:firstLineChars="200"/>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0" w:firstLineChars="200"/>
        <w:jc w:val="right"/>
        <w:textAlignment w:val="auto"/>
        <w:rPr>
          <w:rFonts w:hint="eastAsia"/>
          <w:sz w:val="32"/>
          <w:szCs w:val="32"/>
          <w:lang w:eastAsia="zh-CN"/>
        </w:rPr>
      </w:pPr>
      <w:r>
        <w:rPr>
          <w:rFonts w:hint="eastAsia"/>
          <w:sz w:val="32"/>
          <w:szCs w:val="32"/>
          <w:lang w:eastAsia="zh-CN"/>
        </w:rPr>
        <w:t>辰溪县安坪镇人民政府</w:t>
      </w:r>
    </w:p>
    <w:p>
      <w:pPr>
        <w:jc w:val="right"/>
        <w:rPr>
          <w:rFonts w:hint="eastAsia"/>
          <w:sz w:val="32"/>
          <w:szCs w:val="32"/>
          <w:lang w:val="en-US" w:eastAsia="zh-CN"/>
        </w:rPr>
      </w:pPr>
      <w:r>
        <w:rPr>
          <w:rFonts w:hint="eastAsia"/>
          <w:sz w:val="32"/>
          <w:szCs w:val="32"/>
          <w:lang w:val="en-US" w:eastAsia="zh-CN"/>
        </w:rPr>
        <w:t>2025年5月13日</w:t>
      </w: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p>
    <w:p>
      <w:pPr>
        <w:tabs>
          <w:tab w:val="left" w:pos="1743"/>
        </w:tabs>
        <w:jc w:val="left"/>
        <w:rPr>
          <w:rFonts w:hint="eastAsia"/>
          <w:sz w:val="32"/>
          <w:szCs w:val="32"/>
          <w:lang w:val="en-US" w:eastAsia="zh-CN"/>
        </w:rPr>
      </w:pPr>
      <w:r>
        <w:rPr>
          <w:rFonts w:hint="eastAsia"/>
          <w:sz w:val="32"/>
          <w:szCs w:val="32"/>
          <w:lang w:val="en-US" w:eastAsia="zh-CN"/>
        </w:rPr>
        <w:tab/>
      </w:r>
    </w:p>
    <w:p>
      <w:pPr>
        <w:jc w:val="both"/>
        <w:rPr>
          <w:rFonts w:hint="eastAsia"/>
          <w:sz w:val="32"/>
          <w:szCs w:val="32"/>
          <w:lang w:val="en-US" w:eastAsia="zh-CN"/>
        </w:rPr>
      </w:pPr>
    </w:p>
    <w:p>
      <w:pPr>
        <w:jc w:val="right"/>
        <w:rPr>
          <w:rFonts w:hint="eastAsia"/>
          <w:sz w:val="32"/>
          <w:szCs w:val="32"/>
          <w:lang w:val="en-US" w:eastAsia="zh-CN"/>
        </w:rPr>
      </w:pPr>
    </w:p>
    <w:p>
      <w:pPr>
        <w:jc w:val="right"/>
        <w:rPr>
          <w:rFonts w:hint="eastAsia"/>
          <w:sz w:val="32"/>
          <w:szCs w:val="32"/>
          <w:lang w:val="en-US" w:eastAsia="zh-CN"/>
        </w:rPr>
      </w:pPr>
      <w:bookmarkStart w:id="0" w:name="_GoBack"/>
      <w:bookmarkEnd w:id="0"/>
    </w:p>
    <w:p>
      <w:pPr>
        <w:jc w:val="right"/>
        <w:rPr>
          <w:rFonts w:hint="eastAsia"/>
          <w:sz w:val="32"/>
          <w:szCs w:val="32"/>
          <w:lang w:val="en-US" w:eastAsia="zh-CN"/>
        </w:rPr>
      </w:pPr>
    </w:p>
    <w:p>
      <w:pPr>
        <w:jc w:val="right"/>
        <w:rPr>
          <w:rFonts w:hint="eastAsia"/>
          <w:sz w:val="32"/>
          <w:szCs w:val="32"/>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E6F71"/>
    <w:multiLevelType w:val="singleLevel"/>
    <w:tmpl w:val="2D2E6F71"/>
    <w:lvl w:ilvl="0" w:tentative="0">
      <w:start w:val="1"/>
      <w:numFmt w:val="chineseCounting"/>
      <w:suff w:val="nothing"/>
      <w:lvlText w:val="（%1）"/>
      <w:lvlJc w:val="left"/>
      <w:rPr>
        <w:rFonts w:hint="eastAsia"/>
      </w:rPr>
    </w:lvl>
  </w:abstractNum>
  <w:abstractNum w:abstractNumId="1">
    <w:nsid w:val="4CFF2B9D"/>
    <w:multiLevelType w:val="singleLevel"/>
    <w:tmpl w:val="4CFF2B9D"/>
    <w:lvl w:ilvl="0" w:tentative="0">
      <w:start w:val="10"/>
      <w:numFmt w:val="chineseCounting"/>
      <w:suff w:val="nothing"/>
      <w:lvlText w:val="%1、"/>
      <w:lvlJc w:val="left"/>
      <w:rPr>
        <w:rFonts w:hint="eastAsia"/>
      </w:rPr>
    </w:lvl>
  </w:abstractNum>
  <w:abstractNum w:abstractNumId="2">
    <w:nsid w:val="4F4D681B"/>
    <w:multiLevelType w:val="singleLevel"/>
    <w:tmpl w:val="4F4D681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MWZlMjJjOTJkODkwMWFlMzA4ZTA0ZmVhN2VlMGYifQ=="/>
  </w:docVars>
  <w:rsids>
    <w:rsidRoot w:val="60C3646B"/>
    <w:rsid w:val="04E75733"/>
    <w:rsid w:val="10901FDF"/>
    <w:rsid w:val="1AA47EC2"/>
    <w:rsid w:val="1FFE9691"/>
    <w:rsid w:val="21C96863"/>
    <w:rsid w:val="25BDDD64"/>
    <w:rsid w:val="28B90BE4"/>
    <w:rsid w:val="33F155EC"/>
    <w:rsid w:val="36056362"/>
    <w:rsid w:val="37DF1E67"/>
    <w:rsid w:val="3FF30779"/>
    <w:rsid w:val="42C5252B"/>
    <w:rsid w:val="43452D76"/>
    <w:rsid w:val="47A5361A"/>
    <w:rsid w:val="482007AC"/>
    <w:rsid w:val="4A534C55"/>
    <w:rsid w:val="4E737F19"/>
    <w:rsid w:val="50E517DF"/>
    <w:rsid w:val="555B292C"/>
    <w:rsid w:val="57AE4016"/>
    <w:rsid w:val="589C176E"/>
    <w:rsid w:val="60C3646B"/>
    <w:rsid w:val="65958A76"/>
    <w:rsid w:val="66436026"/>
    <w:rsid w:val="6FBF8D5A"/>
    <w:rsid w:val="75FEBAE8"/>
    <w:rsid w:val="7BFFB5AF"/>
    <w:rsid w:val="7EB56E6C"/>
    <w:rsid w:val="7FDED3F6"/>
    <w:rsid w:val="8FA75EBC"/>
    <w:rsid w:val="AEFEE17C"/>
    <w:rsid w:val="B7B70F4A"/>
    <w:rsid w:val="B7DDE093"/>
    <w:rsid w:val="BFADF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eastAsia="宋体"/>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3327</Words>
  <Characters>3537</Characters>
  <Lines>0</Lines>
  <Paragraphs>0</Paragraphs>
  <TotalTime>23</TotalTime>
  <ScaleCrop>false</ScaleCrop>
  <LinksUpToDate>false</LinksUpToDate>
  <CharactersWithSpaces>3542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2024-04-07T21:12:00Z</dcterms:created>
  <dc:creator>WPS_1702276374</dc:creator>
  <cp:lastModifiedBy>Administrator</cp:lastModifiedBy>
  <cp:lastPrinted>2025-05-14T06:16:00Z</cp:lastPrinted>
  <dcterms:modified xsi:type="dcterms:W3CDTF">2025-09-09T02:43:52Z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5FC1C5BBA5BD419CB4842F6950F6488A_13</vt:lpwstr>
  </property>
</Properties>
</file>