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0348">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4"/>
        </w:rPr>
      </w:pPr>
      <w:r>
        <w:rPr>
          <w:rFonts w:ascii="仿宋" w:hAnsi="仿宋" w:eastAsia="仿宋"/>
          <w:sz w:val="28"/>
          <w:szCs w:val="28"/>
        </w:rPr>
        <w:t>附件</w:t>
      </w:r>
      <w:r>
        <w:rPr>
          <w:rFonts w:hint="eastAsia" w:ascii="仿宋" w:hAnsi="仿宋" w:eastAsia="仿宋"/>
          <w:sz w:val="28"/>
          <w:szCs w:val="28"/>
        </w:rPr>
        <w:t xml:space="preserve">4 </w:t>
      </w:r>
      <w:r>
        <w:rPr>
          <w:rFonts w:hint="eastAsia" w:ascii="仿宋" w:hAnsi="仿宋" w:eastAsia="仿宋"/>
          <w:sz w:val="24"/>
        </w:rPr>
        <w:t xml:space="preserve"> </w:t>
      </w:r>
    </w:p>
    <w:p w14:paraId="5F0E65A5">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4"/>
        </w:rPr>
      </w:pPr>
    </w:p>
    <w:p w14:paraId="67384E59">
      <w:pPr>
        <w:spacing w:line="600" w:lineRule="exact"/>
        <w:jc w:val="center"/>
        <w:rPr>
          <w:sz w:val="24"/>
        </w:rPr>
      </w:pPr>
    </w:p>
    <w:p w14:paraId="77E9FE56">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val="en-US" w:eastAsia="zh-CN"/>
        </w:rPr>
        <w:t>安坪镇</w:t>
      </w:r>
      <w:r>
        <w:rPr>
          <w:rFonts w:hint="eastAsia" w:ascii="黑体" w:hAnsi="黑体" w:eastAsia="黑体" w:cs="黑体"/>
          <w:bCs/>
          <w:sz w:val="44"/>
          <w:lang w:eastAsia="zh-CN"/>
        </w:rPr>
        <w:t>人民政府</w:t>
      </w:r>
      <w:r>
        <w:rPr>
          <w:rFonts w:hint="eastAsia" w:ascii="黑体" w:hAnsi="黑体" w:eastAsia="黑体" w:cs="黑体"/>
          <w:bCs/>
          <w:sz w:val="44"/>
        </w:rPr>
        <w:t>部门整体支出</w:t>
      </w:r>
    </w:p>
    <w:p w14:paraId="19EA1278">
      <w:pPr>
        <w:widowControl/>
        <w:spacing w:line="640" w:lineRule="exact"/>
        <w:jc w:val="center"/>
        <w:rPr>
          <w:rFonts w:hint="eastAsia" w:ascii="黑体" w:hAnsi="黑体" w:eastAsia="黑体" w:cs="黑体"/>
          <w:bCs/>
          <w:sz w:val="44"/>
        </w:rPr>
      </w:pPr>
      <w:r>
        <w:rPr>
          <w:rFonts w:hint="eastAsia" w:ascii="黑体" w:hAnsi="黑体" w:eastAsia="黑体" w:cs="黑体"/>
          <w:bCs/>
          <w:sz w:val="44"/>
        </w:rPr>
        <w:t>绩效自评报告</w:t>
      </w:r>
    </w:p>
    <w:p w14:paraId="2030AF66">
      <w:pPr>
        <w:spacing w:line="600" w:lineRule="exact"/>
        <w:jc w:val="center"/>
        <w:rPr>
          <w:sz w:val="24"/>
        </w:rPr>
      </w:pPr>
    </w:p>
    <w:p w14:paraId="3E014C45">
      <w:pPr>
        <w:spacing w:line="600" w:lineRule="exact"/>
        <w:jc w:val="center"/>
        <w:rPr>
          <w:sz w:val="24"/>
        </w:rPr>
      </w:pPr>
    </w:p>
    <w:p w14:paraId="3DD94B2A">
      <w:pPr>
        <w:spacing w:line="600" w:lineRule="exact"/>
        <w:jc w:val="center"/>
        <w:rPr>
          <w:sz w:val="24"/>
        </w:rPr>
      </w:pPr>
    </w:p>
    <w:p w14:paraId="2EB05568">
      <w:pPr>
        <w:spacing w:line="600" w:lineRule="exact"/>
        <w:jc w:val="center"/>
        <w:rPr>
          <w:sz w:val="24"/>
        </w:rPr>
      </w:pPr>
    </w:p>
    <w:p w14:paraId="7DC071A8">
      <w:pPr>
        <w:spacing w:line="600" w:lineRule="exact"/>
        <w:jc w:val="center"/>
        <w:rPr>
          <w:sz w:val="24"/>
        </w:rPr>
      </w:pPr>
    </w:p>
    <w:p w14:paraId="4F7E4E3B">
      <w:pPr>
        <w:spacing w:line="600" w:lineRule="exact"/>
        <w:jc w:val="center"/>
        <w:rPr>
          <w:sz w:val="24"/>
        </w:rPr>
      </w:pPr>
    </w:p>
    <w:p w14:paraId="398236A3">
      <w:pPr>
        <w:spacing w:line="600" w:lineRule="exact"/>
        <w:jc w:val="center"/>
        <w:rPr>
          <w:sz w:val="24"/>
        </w:rPr>
      </w:pPr>
    </w:p>
    <w:p w14:paraId="70FCCAC2">
      <w:pPr>
        <w:spacing w:line="600" w:lineRule="exact"/>
        <w:jc w:val="center"/>
        <w:rPr>
          <w:sz w:val="24"/>
        </w:rPr>
      </w:pPr>
    </w:p>
    <w:p w14:paraId="2A5F2668">
      <w:pPr>
        <w:spacing w:line="600" w:lineRule="exact"/>
        <w:jc w:val="center"/>
        <w:rPr>
          <w:sz w:val="24"/>
        </w:rPr>
      </w:pPr>
    </w:p>
    <w:p w14:paraId="4CD37774">
      <w:pPr>
        <w:spacing w:line="600" w:lineRule="exact"/>
        <w:jc w:val="center"/>
        <w:rPr>
          <w:sz w:val="24"/>
        </w:rPr>
      </w:pPr>
    </w:p>
    <w:p w14:paraId="1C6B414D">
      <w:pPr>
        <w:spacing w:line="600" w:lineRule="exact"/>
        <w:jc w:val="center"/>
        <w:rPr>
          <w:sz w:val="24"/>
        </w:rPr>
      </w:pPr>
    </w:p>
    <w:p w14:paraId="6C9E3165">
      <w:pPr>
        <w:spacing w:line="600" w:lineRule="exact"/>
        <w:jc w:val="center"/>
        <w:rPr>
          <w:sz w:val="24"/>
        </w:rPr>
      </w:pPr>
    </w:p>
    <w:p w14:paraId="224F8558">
      <w:pPr>
        <w:spacing w:line="600" w:lineRule="exact"/>
        <w:rPr>
          <w:sz w:val="24"/>
        </w:rPr>
      </w:pPr>
    </w:p>
    <w:p w14:paraId="6C3BB38F">
      <w:pPr>
        <w:spacing w:line="600" w:lineRule="exact"/>
        <w:jc w:val="center"/>
        <w:rPr>
          <w:sz w:val="32"/>
          <w:szCs w:val="32"/>
          <w:u w:val="single"/>
        </w:rPr>
      </w:pPr>
      <w:r>
        <w:rPr>
          <w:rFonts w:hint="eastAsia"/>
          <w:sz w:val="32"/>
          <w:szCs w:val="32"/>
        </w:rPr>
        <w:t>部门（单位）名称：</w:t>
      </w:r>
      <w:r>
        <w:rPr>
          <w:rFonts w:hint="eastAsia"/>
          <w:sz w:val="32"/>
          <w:szCs w:val="32"/>
          <w:u w:val="single"/>
          <w:lang w:val="en-US" w:eastAsia="zh-CN"/>
        </w:rPr>
        <w:t>辰溪县安坪镇人民政府</w:t>
      </w:r>
      <w:bookmarkStart w:id="0" w:name="_GoBack"/>
      <w:bookmarkEnd w:id="0"/>
    </w:p>
    <w:p w14:paraId="63EC6AA4">
      <w:pPr>
        <w:spacing w:line="600" w:lineRule="exact"/>
        <w:ind w:firstLine="640"/>
        <w:jc w:val="center"/>
        <w:rPr>
          <w:sz w:val="32"/>
          <w:szCs w:val="32"/>
        </w:rPr>
      </w:pPr>
      <w:r>
        <w:rPr>
          <w:rFonts w:hint="eastAsia"/>
          <w:sz w:val="32"/>
          <w:szCs w:val="32"/>
          <w:lang w:val="en-US" w:eastAsia="zh-CN"/>
        </w:rPr>
        <w:t>2024</w:t>
      </w:r>
      <w:r>
        <w:rPr>
          <w:rFonts w:hint="eastAsia"/>
          <w:sz w:val="32"/>
          <w:szCs w:val="32"/>
        </w:rPr>
        <w:t xml:space="preserve">年 </w:t>
      </w:r>
      <w:r>
        <w:rPr>
          <w:rFonts w:hint="eastAsia"/>
          <w:sz w:val="32"/>
          <w:szCs w:val="32"/>
          <w:lang w:val="en-US" w:eastAsia="zh-CN"/>
        </w:rPr>
        <w:t>4</w:t>
      </w:r>
      <w:r>
        <w:rPr>
          <w:rFonts w:hint="eastAsia"/>
          <w:sz w:val="32"/>
          <w:szCs w:val="32"/>
        </w:rPr>
        <w:t>月</w:t>
      </w:r>
      <w:r>
        <w:rPr>
          <w:rFonts w:hint="eastAsia"/>
          <w:sz w:val="32"/>
          <w:szCs w:val="32"/>
          <w:lang w:val="en-US" w:eastAsia="zh-CN"/>
        </w:rPr>
        <w:t>8</w:t>
      </w:r>
      <w:r>
        <w:rPr>
          <w:rFonts w:hint="eastAsia"/>
          <w:sz w:val="32"/>
          <w:szCs w:val="32"/>
        </w:rPr>
        <w:t xml:space="preserve"> 日</w:t>
      </w:r>
    </w:p>
    <w:p w14:paraId="307304C0">
      <w:pPr>
        <w:spacing w:line="600" w:lineRule="exact"/>
        <w:jc w:val="center"/>
        <w:rPr>
          <w:rFonts w:hint="eastAsia" w:eastAsia="方正小标宋_GBK"/>
          <w:sz w:val="36"/>
          <w:szCs w:val="36"/>
        </w:rPr>
      </w:pPr>
    </w:p>
    <w:p w14:paraId="30BF200B">
      <w:pPr>
        <w:rPr>
          <w:rFonts w:hint="default" w:eastAsia="方正小标宋_GBK"/>
          <w:sz w:val="36"/>
          <w:szCs w:val="36"/>
          <w:lang w:val="en-US" w:eastAsia="zh-CN"/>
        </w:rPr>
      </w:pPr>
    </w:p>
    <w:p w14:paraId="6CFE0FE3">
      <w:pPr>
        <w:spacing w:line="600" w:lineRule="exact"/>
        <w:jc w:val="both"/>
        <w:rPr>
          <w:rFonts w:hint="default" w:eastAsia="方正小标宋_GBK"/>
          <w:sz w:val="36"/>
          <w:szCs w:val="36"/>
          <w:lang w:val="en-US" w:eastAsia="zh-CN"/>
        </w:rPr>
      </w:pPr>
    </w:p>
    <w:p w14:paraId="53977AD7">
      <w:pPr>
        <w:spacing w:line="600" w:lineRule="exact"/>
        <w:jc w:val="both"/>
        <w:rPr>
          <w:rFonts w:hint="default" w:eastAsia="方正小标宋_GBK"/>
          <w:sz w:val="36"/>
          <w:szCs w:val="36"/>
          <w:lang w:val="en-US" w:eastAsia="zh-CN"/>
        </w:rPr>
      </w:pPr>
    </w:p>
    <w:p w14:paraId="692CDDBB">
      <w:pPr>
        <w:spacing w:line="600" w:lineRule="exact"/>
        <w:jc w:val="both"/>
        <w:rPr>
          <w:rFonts w:hint="default" w:eastAsia="方正小标宋_GBK"/>
          <w:sz w:val="36"/>
          <w:szCs w:val="36"/>
          <w:lang w:val="en-US" w:eastAsia="zh-CN"/>
        </w:rPr>
      </w:pPr>
    </w:p>
    <w:p w14:paraId="5B839668">
      <w:pPr>
        <w:spacing w:line="600" w:lineRule="exact"/>
        <w:jc w:val="both"/>
        <w:rPr>
          <w:rFonts w:hint="default" w:eastAsia="方正小标宋_GBK"/>
          <w:sz w:val="36"/>
          <w:szCs w:val="36"/>
          <w:lang w:val="en-US" w:eastAsia="zh-CN"/>
        </w:rPr>
      </w:pPr>
    </w:p>
    <w:p w14:paraId="4A8EB5EB">
      <w:pPr>
        <w:spacing w:line="600" w:lineRule="exact"/>
        <w:jc w:val="both"/>
        <w:rPr>
          <w:rFonts w:hint="default" w:eastAsia="方正小标宋_GBK"/>
          <w:sz w:val="36"/>
          <w:szCs w:val="36"/>
          <w:lang w:val="en-US" w:eastAsia="zh-CN"/>
        </w:rPr>
      </w:pPr>
    </w:p>
    <w:p w14:paraId="46D6B754">
      <w:pPr>
        <w:spacing w:line="600" w:lineRule="exact"/>
        <w:jc w:val="both"/>
        <w:rPr>
          <w:rFonts w:hint="default" w:eastAsia="方正小标宋_GBK"/>
          <w:sz w:val="36"/>
          <w:szCs w:val="36"/>
          <w:lang w:val="en-US" w:eastAsia="zh-CN"/>
        </w:rPr>
      </w:pPr>
    </w:p>
    <w:p w14:paraId="5F720D53">
      <w:pPr>
        <w:spacing w:line="600" w:lineRule="exact"/>
        <w:jc w:val="both"/>
        <w:rPr>
          <w:rFonts w:hint="default" w:eastAsia="方正小标宋_GBK"/>
          <w:sz w:val="36"/>
          <w:szCs w:val="36"/>
          <w:lang w:val="en-US" w:eastAsia="zh-CN"/>
        </w:rPr>
      </w:pPr>
    </w:p>
    <w:p w14:paraId="01F60B25">
      <w:pPr>
        <w:spacing w:line="600" w:lineRule="exact"/>
        <w:jc w:val="both"/>
        <w:rPr>
          <w:rFonts w:hint="default" w:eastAsia="方正小标宋_GBK"/>
          <w:sz w:val="36"/>
          <w:szCs w:val="36"/>
          <w:lang w:val="en-US" w:eastAsia="zh-CN"/>
        </w:rPr>
      </w:pPr>
    </w:p>
    <w:p w14:paraId="51996128">
      <w:pPr>
        <w:spacing w:line="600" w:lineRule="exact"/>
        <w:jc w:val="both"/>
        <w:rPr>
          <w:rFonts w:hint="default" w:eastAsia="方正小标宋_GBK"/>
          <w:sz w:val="36"/>
          <w:szCs w:val="36"/>
          <w:lang w:val="en-US" w:eastAsia="zh-CN"/>
        </w:rPr>
      </w:pPr>
    </w:p>
    <w:p w14:paraId="7FD43CB0">
      <w:pPr>
        <w:spacing w:line="600" w:lineRule="exact"/>
        <w:jc w:val="both"/>
        <w:rPr>
          <w:rFonts w:hint="default" w:eastAsia="方正小标宋_GBK"/>
          <w:sz w:val="36"/>
          <w:szCs w:val="36"/>
          <w:lang w:val="en-US" w:eastAsia="zh-CN"/>
        </w:rPr>
      </w:pPr>
    </w:p>
    <w:p w14:paraId="1CB08F7B">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eastAsia="zh-CN"/>
        </w:rPr>
        <w:t>安坪镇人民政府</w:t>
      </w:r>
      <w:r>
        <w:rPr>
          <w:rFonts w:hint="eastAsia" w:ascii="黑体" w:hAnsi="黑体" w:eastAsia="黑体" w:cs="黑体"/>
          <w:bCs/>
          <w:sz w:val="44"/>
        </w:rPr>
        <w:t>部门整体支出绩效自评报告</w:t>
      </w:r>
    </w:p>
    <w:p w14:paraId="5F1C7766">
      <w:pPr>
        <w:spacing w:line="600" w:lineRule="exact"/>
        <w:jc w:val="center"/>
        <w:rPr>
          <w:rFonts w:eastAsia="方正小标宋_GBK"/>
          <w:sz w:val="32"/>
          <w:szCs w:val="32"/>
        </w:rPr>
      </w:pPr>
    </w:p>
    <w:p w14:paraId="19354AF9">
      <w:pPr>
        <w:pStyle w:val="8"/>
        <w:widowControl/>
        <w:numPr>
          <w:ilvl w:val="0"/>
          <w:numId w:val="1"/>
        </w:numPr>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部门基本情况</w:t>
      </w:r>
    </w:p>
    <w:p w14:paraId="6C0A53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（一）部门职责</w:t>
      </w:r>
    </w:p>
    <w:p w14:paraId="7267B8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1、党政办公室：负责协助</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领导处理日常党务和行政管理工作；协助抓好纪检、监察、群团工作和精神文明建设；做好文秘、接待、后勤、信息、统计、档案、调研、督查工作；负责政策性文件、具体行政行为的审核和上报备案以及行政执法证件的使用管理，承办以</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政府为被告或被申请人的行政诉讼、行政赔偿和行政复议案件，具体承担依法行政、政务公开和行政执法监督的各项工作；联系联络人大、政协工作，承办</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党委、政府和上级主管部门交办的其他事项。</w:t>
      </w:r>
    </w:p>
    <w:p w14:paraId="131E7E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14:paraId="33BF98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3、财政所：负责编制和执行</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政府财政预决算工作，管理预算内外资金、编制财政预算草案；负责管理和监督本</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所属行政事业单位的财务活动；负责财政收支管理，</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财政性资金债权管理；负责政府性项目及大额固定资金等方面的内审工作；负责党委会等会议决定事项的督办工作。</w:t>
      </w:r>
    </w:p>
    <w:p w14:paraId="2844E3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4、经济发展办公室：贯彻国家对农业的方针、政策和法规，对农业产业结构调整，农业资源配置和产品品质改善实施服务；负责全</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农村经济发展规划和重要项目申报工作，指导全</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他工作。</w:t>
      </w:r>
    </w:p>
    <w:p w14:paraId="65AFDE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建设规划的编制，城镇、</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村建设工作；负责土地使用、管理及其相关工作；完成党委、政府分配的其他中心工作。</w:t>
      </w:r>
    </w:p>
    <w:p w14:paraId="4748E2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6、社会治安和应急管理办公室：负责贯彻执行上级有关基层社会治安综合治理和应急管理工作的方针、政策和法律法规；健全</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党委、政府和上级主管部门交办的其他事项。</w:t>
      </w:r>
    </w:p>
    <w:p w14:paraId="4979EC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党委、政府和上级主管部门交办的其他事项。</w:t>
      </w:r>
    </w:p>
    <w:p w14:paraId="64B806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8、综合行政执法大队：按照有关法律规定相对集中行使行政处罚权，以</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名义开展执法工作，并接受有关县级主管部门的业务指导和监督，逐步实现一支队伍管执法；承办</w:t>
      </w:r>
      <w:r>
        <w:rPr>
          <w:rFonts w:hint="eastAsia" w:ascii="仿宋" w:hAnsi="仿宋" w:eastAsia="仿宋" w:cs="仿宋"/>
          <w:kern w:val="0"/>
          <w:sz w:val="32"/>
          <w:szCs w:val="32"/>
          <w:lang w:val="en-US" w:eastAsia="zh-CN" w:bidi="ar-SA"/>
        </w:rPr>
        <w:t>镇</w:t>
      </w:r>
      <w:r>
        <w:rPr>
          <w:rFonts w:hint="default" w:ascii="仿宋" w:hAnsi="仿宋" w:eastAsia="仿宋" w:cs="仿宋"/>
          <w:kern w:val="0"/>
          <w:sz w:val="32"/>
          <w:szCs w:val="32"/>
          <w:lang w:val="en-US" w:eastAsia="zh-CN" w:bidi="ar-SA"/>
        </w:rPr>
        <w:t>党委、政府和上级主管部门交办的其他事项。</w:t>
      </w:r>
    </w:p>
    <w:p w14:paraId="598373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（二）机构设置情况</w:t>
      </w:r>
    </w:p>
    <w:p w14:paraId="3F6CAE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安坪镇</w:t>
      </w:r>
      <w:r>
        <w:rPr>
          <w:rFonts w:hint="default" w:ascii="仿宋" w:hAnsi="仿宋" w:eastAsia="仿宋" w:cs="仿宋"/>
          <w:kern w:val="0"/>
          <w:sz w:val="32"/>
          <w:szCs w:val="32"/>
          <w:lang w:val="en-US" w:eastAsia="zh-CN" w:bidi="ar-SA"/>
        </w:rPr>
        <w:t>人民政府作为一级部门预算单位，纳入2023年部门预算编制范围的二级部门预算单位包括：党政办公室、党建办公室、经济发展办公室、社会事务办公室、社会治安和应急管理办公室、自然资源和生态环境办公室、社会事务综合服务中心、农业综合服务中心、便民服务中心、综合行政执法大队等部门。</w:t>
      </w:r>
    </w:p>
    <w:p w14:paraId="2496EC7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p>
    <w:p w14:paraId="00256C2F">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人员情况</w:t>
      </w:r>
    </w:p>
    <w:p w14:paraId="1A68EDBA">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人员情况：截至202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年底，</w:t>
      </w:r>
      <w:r>
        <w:rPr>
          <w:rFonts w:hint="eastAsia" w:ascii="仿宋" w:hAnsi="仿宋" w:eastAsia="仿宋" w:cs="仿宋"/>
          <w:sz w:val="32"/>
          <w:szCs w:val="32"/>
          <w:lang w:eastAsia="zh-CN"/>
        </w:rPr>
        <w:t>安坪镇</w:t>
      </w:r>
      <w:r>
        <w:rPr>
          <w:rFonts w:hint="eastAsia" w:ascii="仿宋" w:hAnsi="仿宋" w:eastAsia="仿宋" w:cs="仿宋"/>
          <w:sz w:val="32"/>
          <w:szCs w:val="32"/>
        </w:rPr>
        <w:t>人民政府核定人员编制</w:t>
      </w:r>
      <w:r>
        <w:rPr>
          <w:rFonts w:hint="eastAsia" w:ascii="仿宋" w:hAnsi="仿宋" w:eastAsia="仿宋" w:cs="仿宋"/>
          <w:sz w:val="32"/>
          <w:szCs w:val="32"/>
          <w:lang w:val="en-US" w:eastAsia="zh-CN"/>
        </w:rPr>
        <w:t>80</w:t>
      </w:r>
      <w:r>
        <w:rPr>
          <w:rFonts w:hint="eastAsia" w:ascii="仿宋" w:hAnsi="仿宋" w:eastAsia="仿宋" w:cs="仿宋"/>
          <w:sz w:val="32"/>
          <w:szCs w:val="32"/>
        </w:rPr>
        <w:t>人，行政编制</w:t>
      </w:r>
      <w:r>
        <w:rPr>
          <w:rFonts w:hint="eastAsia" w:ascii="仿宋" w:hAnsi="仿宋" w:eastAsia="仿宋" w:cs="仿宋"/>
          <w:sz w:val="32"/>
          <w:szCs w:val="32"/>
          <w:lang w:val="en-US" w:eastAsia="zh-CN"/>
        </w:rPr>
        <w:t>31</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49</w:t>
      </w:r>
      <w:r>
        <w:rPr>
          <w:rFonts w:hint="eastAsia" w:ascii="仿宋" w:hAnsi="仿宋" w:eastAsia="仿宋" w:cs="仿宋"/>
          <w:sz w:val="32"/>
          <w:szCs w:val="32"/>
        </w:rPr>
        <w:t>人；实际在编</w:t>
      </w:r>
      <w:r>
        <w:rPr>
          <w:rFonts w:hint="eastAsia" w:ascii="仿宋" w:hAnsi="仿宋" w:eastAsia="仿宋" w:cs="仿宋"/>
          <w:sz w:val="32"/>
          <w:szCs w:val="32"/>
          <w:lang w:val="en-US" w:eastAsia="zh-CN"/>
        </w:rPr>
        <w:t>73</w:t>
      </w:r>
      <w:r>
        <w:rPr>
          <w:rFonts w:hint="eastAsia" w:ascii="仿宋" w:hAnsi="仿宋" w:eastAsia="仿宋" w:cs="仿宋"/>
          <w:sz w:val="32"/>
          <w:szCs w:val="32"/>
        </w:rPr>
        <w:t>人（行政编制</w:t>
      </w:r>
      <w:r>
        <w:rPr>
          <w:rFonts w:hint="eastAsia" w:ascii="仿宋" w:hAnsi="仿宋" w:eastAsia="仿宋" w:cs="仿宋"/>
          <w:sz w:val="32"/>
          <w:szCs w:val="32"/>
          <w:lang w:val="en-US" w:eastAsia="zh-CN"/>
        </w:rPr>
        <w:t>30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43</w:t>
      </w:r>
      <w:r>
        <w:rPr>
          <w:rFonts w:hint="eastAsia" w:ascii="仿宋" w:hAnsi="仿宋" w:eastAsia="仿宋" w:cs="仿宋"/>
          <w:sz w:val="32"/>
          <w:szCs w:val="32"/>
        </w:rPr>
        <w:t>人），财政实际供给</w:t>
      </w:r>
      <w:r>
        <w:rPr>
          <w:rFonts w:hint="eastAsia" w:ascii="仿宋" w:hAnsi="仿宋" w:eastAsia="仿宋" w:cs="仿宋"/>
          <w:sz w:val="32"/>
          <w:szCs w:val="32"/>
          <w:lang w:val="en-US" w:eastAsia="zh-CN"/>
        </w:rPr>
        <w:t>73</w:t>
      </w:r>
      <w:r>
        <w:rPr>
          <w:rFonts w:hint="eastAsia" w:ascii="仿宋" w:hAnsi="仿宋" w:eastAsia="仿宋" w:cs="仿宋"/>
          <w:sz w:val="32"/>
          <w:szCs w:val="32"/>
        </w:rPr>
        <w:t>人。</w:t>
      </w:r>
    </w:p>
    <w:p w14:paraId="1B2A350E">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部门年度总体工作任务和重点工作任务</w:t>
      </w:r>
    </w:p>
    <w:p w14:paraId="3FF2DF82">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黑体"/>
          <w:sz w:val="32"/>
          <w:szCs w:val="32"/>
        </w:rPr>
      </w:pPr>
      <w:r>
        <w:rPr>
          <w:rFonts w:hint="eastAsia" w:ascii="仿宋" w:hAnsi="仿宋" w:eastAsia="仿宋" w:cs="仿宋"/>
          <w:kern w:val="0"/>
          <w:sz w:val="32"/>
          <w:szCs w:val="32"/>
        </w:rPr>
        <w:t>总体工作任务为执行</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村环境卫生整治工作等。</w:t>
      </w:r>
    </w:p>
    <w:p w14:paraId="6374A81A">
      <w:pPr>
        <w:pStyle w:val="8"/>
        <w:widowControl/>
        <w:numPr>
          <w:ilvl w:val="0"/>
          <w:numId w:val="1"/>
        </w:numPr>
        <w:spacing w:line="600" w:lineRule="exact"/>
        <w:ind w:left="640"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一般公共预算支出情况</w:t>
      </w:r>
    </w:p>
    <w:p w14:paraId="4CAB98EA">
      <w:pPr>
        <w:pStyle w:val="8"/>
        <w:widowControl/>
        <w:numPr>
          <w:ilvl w:val="0"/>
          <w:numId w:val="2"/>
        </w:numPr>
        <w:spacing w:line="600" w:lineRule="exact"/>
        <w:ind w:left="640" w:firstLine="0" w:firstLineChars="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基本支出情况</w:t>
      </w:r>
    </w:p>
    <w:p w14:paraId="63E50B85">
      <w:pPr>
        <w:pStyle w:val="8"/>
        <w:widowControl/>
        <w:numPr>
          <w:ilvl w:val="0"/>
          <w:numId w:val="0"/>
        </w:numPr>
        <w:spacing w:line="600" w:lineRule="exact"/>
        <w:ind w:left="640" w:leftChars="0"/>
        <w:rPr>
          <w:rFonts w:hint="default" w:ascii="Times New Roman" w:hAnsi="Times New Roman" w:eastAsia="仿宋"/>
          <w:sz w:val="32"/>
          <w:szCs w:val="32"/>
          <w:lang w:val="en-US" w:eastAsia="zh-CN"/>
        </w:rPr>
      </w:pPr>
      <w:r>
        <w:rPr>
          <w:rFonts w:hint="eastAsia" w:ascii="仿宋" w:hAnsi="仿宋" w:eastAsia="仿宋" w:cs="仿宋"/>
          <w:kern w:val="0"/>
          <w:sz w:val="32"/>
          <w:szCs w:val="32"/>
          <w:lang w:val="en-US" w:eastAsia="zh-CN"/>
        </w:rPr>
        <w:t>2023年一般公共</w:t>
      </w:r>
      <w:r>
        <w:rPr>
          <w:rFonts w:hint="eastAsia" w:ascii="仿宋" w:hAnsi="仿宋" w:eastAsia="仿宋" w:cs="仿宋"/>
          <w:kern w:val="0"/>
          <w:sz w:val="32"/>
          <w:szCs w:val="32"/>
        </w:rPr>
        <w:t>预算支出合计</w:t>
      </w:r>
      <w:r>
        <w:rPr>
          <w:rFonts w:hint="eastAsia" w:ascii="仿宋" w:hAnsi="仿宋" w:eastAsia="仿宋" w:cs="仿宋"/>
          <w:kern w:val="0"/>
          <w:sz w:val="32"/>
          <w:szCs w:val="32"/>
          <w:lang w:val="en-US" w:eastAsia="zh-CN"/>
        </w:rPr>
        <w:t>1116.7</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1116.7</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基本支出中工资福利支出</w:t>
      </w:r>
      <w:r>
        <w:rPr>
          <w:rFonts w:hint="eastAsia" w:ascii="仿宋" w:hAnsi="仿宋" w:eastAsia="仿宋" w:cs="仿宋"/>
          <w:kern w:val="0"/>
          <w:sz w:val="32"/>
          <w:szCs w:val="32"/>
          <w:lang w:val="en-US" w:eastAsia="zh-CN"/>
        </w:rPr>
        <w:t>811.64万元，占比72.68%，商品和服务支出286.68万元，占比25.67%；对个人和家庭的补助3.07万元，占比0.3%。</w:t>
      </w:r>
    </w:p>
    <w:p w14:paraId="6B4189D7">
      <w:pPr>
        <w:pStyle w:val="8"/>
        <w:widowControl/>
        <w:numPr>
          <w:ilvl w:val="0"/>
          <w:numId w:val="2"/>
        </w:numPr>
        <w:spacing w:line="600" w:lineRule="exact"/>
        <w:ind w:left="640" w:firstLine="0" w:firstLineChars="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项目支出情况</w:t>
      </w:r>
    </w:p>
    <w:p w14:paraId="71C93113">
      <w:pPr>
        <w:pStyle w:val="8"/>
        <w:widowControl/>
        <w:numPr>
          <w:ilvl w:val="0"/>
          <w:numId w:val="0"/>
        </w:numPr>
        <w:spacing w:line="600" w:lineRule="exact"/>
        <w:ind w:left="640" w:leftChars="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2023年一般公共预算支出合计1116.7万元，其中项目支出0万元，占比0%；其中基础设施建设支出0万元，占项目支出0%。</w:t>
      </w:r>
    </w:p>
    <w:p w14:paraId="36B5A0B8">
      <w:pPr>
        <w:pStyle w:val="8"/>
        <w:widowControl/>
        <w:numPr>
          <w:ilvl w:val="0"/>
          <w:numId w:val="1"/>
        </w:numPr>
        <w:spacing w:line="600" w:lineRule="exact"/>
        <w:ind w:left="640"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政府性基金预算支出情况</w:t>
      </w:r>
    </w:p>
    <w:p w14:paraId="220B6DDE">
      <w:pPr>
        <w:pStyle w:val="8"/>
        <w:widowControl/>
        <w:numPr>
          <w:ilvl w:val="0"/>
          <w:numId w:val="0"/>
        </w:numPr>
        <w:spacing w:line="600" w:lineRule="exact"/>
        <w:ind w:left="640" w:leftChars="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2023年政府性基金拨款29.56万元，拆迁和征地补偿支出2.56万元，占比8.67%，维修支出0万元，占比0%。</w:t>
      </w:r>
    </w:p>
    <w:p w14:paraId="75D5AB48">
      <w:pPr>
        <w:pStyle w:val="8"/>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国有资本经营预算支出情况</w:t>
      </w:r>
    </w:p>
    <w:p w14:paraId="2F980A57">
      <w:pPr>
        <w:pStyle w:val="8"/>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70BD30FC">
      <w:pPr>
        <w:pStyle w:val="8"/>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社会保险基金预算支出情况</w:t>
      </w:r>
    </w:p>
    <w:p w14:paraId="45625E20">
      <w:pPr>
        <w:pStyle w:val="8"/>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5A26C742">
      <w:pPr>
        <w:widowControl/>
        <w:numPr>
          <w:ilvl w:val="0"/>
          <w:numId w:val="1"/>
        </w:numPr>
        <w:spacing w:line="600" w:lineRule="exact"/>
        <w:ind w:left="640" w:leftChars="0" w:firstLine="0" w:firstLineChars="0"/>
        <w:jc w:val="left"/>
        <w:rPr>
          <w:rFonts w:hint="eastAsia" w:eastAsia="黑体"/>
          <w:sz w:val="32"/>
          <w:szCs w:val="32"/>
        </w:rPr>
      </w:pPr>
      <w:r>
        <w:rPr>
          <w:rFonts w:hint="eastAsia" w:eastAsia="黑体"/>
          <w:sz w:val="32"/>
          <w:szCs w:val="32"/>
        </w:rPr>
        <w:t>部门整体支出绩效情况</w:t>
      </w:r>
    </w:p>
    <w:p w14:paraId="65E18B53">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（一）投入情况分析</w:t>
      </w:r>
    </w:p>
    <w:p w14:paraId="54D1C330">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lang w:eastAsia="zh-CN"/>
        </w:rPr>
        <w:t>全年</w:t>
      </w:r>
      <w:r>
        <w:rPr>
          <w:rFonts w:hint="eastAsia" w:ascii="仿宋" w:hAnsi="仿宋" w:eastAsia="仿宋" w:cs="仿宋"/>
          <w:kern w:val="0"/>
          <w:sz w:val="32"/>
          <w:szCs w:val="32"/>
        </w:rPr>
        <w:t>预算收入</w:t>
      </w:r>
      <w:r>
        <w:rPr>
          <w:rFonts w:hint="eastAsia" w:ascii="仿宋" w:hAnsi="仿宋" w:eastAsia="仿宋" w:cs="仿宋"/>
          <w:kern w:val="0"/>
          <w:sz w:val="32"/>
          <w:szCs w:val="32"/>
          <w:lang w:val="en-US" w:eastAsia="zh-CN"/>
        </w:rPr>
        <w:t>1718.1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一般公共预算</w:t>
      </w:r>
      <w:r>
        <w:rPr>
          <w:rFonts w:hint="eastAsia" w:ascii="仿宋" w:hAnsi="仿宋" w:eastAsia="仿宋" w:cs="仿宋"/>
          <w:kern w:val="0"/>
          <w:sz w:val="32"/>
          <w:szCs w:val="32"/>
          <w:lang w:val="en-US" w:eastAsia="zh-CN"/>
        </w:rPr>
        <w:t>1165.89万元，占比67.86%；政府性基金拨款29.56万元，占比1.72%；其他收入522.65万元，占比30.42%。全年预算收入</w:t>
      </w:r>
      <w:r>
        <w:rPr>
          <w:rFonts w:hint="eastAsia" w:ascii="仿宋" w:hAnsi="仿宋" w:eastAsia="仿宋" w:cs="仿宋"/>
          <w:kern w:val="0"/>
          <w:sz w:val="32"/>
          <w:szCs w:val="32"/>
        </w:rPr>
        <w:t>较</w:t>
      </w:r>
      <w:r>
        <w:rPr>
          <w:rFonts w:hint="eastAsia" w:ascii="仿宋" w:hAnsi="仿宋" w:eastAsia="仿宋" w:cs="仿宋"/>
          <w:kern w:val="0"/>
          <w:sz w:val="32"/>
          <w:szCs w:val="32"/>
          <w:lang w:eastAsia="zh-CN"/>
        </w:rPr>
        <w:t>上年</w:t>
      </w:r>
      <w:r>
        <w:rPr>
          <w:rFonts w:hint="eastAsia" w:ascii="仿宋" w:hAnsi="仿宋" w:eastAsia="仿宋" w:cs="仿宋"/>
          <w:kern w:val="0"/>
          <w:sz w:val="32"/>
          <w:szCs w:val="32"/>
          <w:lang w:val="en-US" w:eastAsia="zh-CN"/>
        </w:rPr>
        <w:t>减少17.49</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原因在于</w:t>
      </w:r>
      <w:r>
        <w:rPr>
          <w:rFonts w:hint="eastAsia" w:ascii="仿宋" w:hAnsi="仿宋" w:eastAsia="仿宋" w:cs="仿宋"/>
          <w:kern w:val="0"/>
          <w:sz w:val="32"/>
          <w:szCs w:val="32"/>
          <w:lang w:val="en-US" w:eastAsia="zh-CN"/>
        </w:rPr>
        <w:t>2023年合理控制各项开支，提升资金绩效。</w:t>
      </w:r>
    </w:p>
    <w:p w14:paraId="599D7F04">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（二）执行管理情况分析</w:t>
      </w:r>
    </w:p>
    <w:p w14:paraId="59DFC718">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zh-CN"/>
        </w:rPr>
        <w:t>我</w:t>
      </w:r>
      <w:r>
        <w:rPr>
          <w:rFonts w:hint="eastAsia" w:ascii="仿宋" w:hAnsi="仿宋" w:eastAsia="仿宋" w:cs="仿宋"/>
          <w:kern w:val="0"/>
          <w:sz w:val="32"/>
          <w:szCs w:val="32"/>
          <w:lang w:val="en-US" w:eastAsia="zh-CN"/>
        </w:rPr>
        <w:t>镇</w:t>
      </w:r>
      <w:r>
        <w:rPr>
          <w:rFonts w:hint="eastAsia" w:ascii="仿宋" w:hAnsi="仿宋" w:eastAsia="仿宋" w:cs="仿宋"/>
          <w:kern w:val="0"/>
          <w:sz w:val="32"/>
          <w:szCs w:val="32"/>
          <w:lang w:val="zh-CN"/>
        </w:rPr>
        <w:t>及时组织财务人员进行预决算的编制，</w:t>
      </w:r>
      <w:r>
        <w:rPr>
          <w:rFonts w:hint="eastAsia" w:ascii="仿宋" w:hAnsi="仿宋" w:eastAsia="仿宋" w:cs="仿宋"/>
          <w:kern w:val="0"/>
          <w:sz w:val="32"/>
          <w:szCs w:val="32"/>
        </w:rPr>
        <w:t>按时完成202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年预算编制及公开，</w:t>
      </w:r>
      <w:r>
        <w:rPr>
          <w:rFonts w:hint="eastAsia" w:ascii="仿宋" w:hAnsi="仿宋" w:eastAsia="仿宋" w:cs="仿宋"/>
          <w:kern w:val="0"/>
          <w:sz w:val="32"/>
          <w:szCs w:val="32"/>
          <w:lang w:val="zh-CN"/>
        </w:rPr>
        <w:t>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14:paraId="62FA05A4">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（三）支出绩效情况分析</w:t>
      </w:r>
    </w:p>
    <w:p w14:paraId="4B8D26E1">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年决算支出为</w:t>
      </w:r>
      <w:r>
        <w:rPr>
          <w:rFonts w:hint="eastAsia" w:ascii="仿宋" w:hAnsi="仿宋" w:eastAsia="仿宋" w:cs="仿宋"/>
          <w:kern w:val="0"/>
          <w:sz w:val="32"/>
          <w:szCs w:val="32"/>
          <w:lang w:val="en-US" w:eastAsia="zh-CN"/>
        </w:rPr>
        <w:t>1116.7</w:t>
      </w:r>
      <w:r>
        <w:rPr>
          <w:rFonts w:hint="eastAsia" w:ascii="仿宋" w:hAnsi="仿宋" w:eastAsia="仿宋" w:cs="仿宋"/>
          <w:kern w:val="0"/>
          <w:sz w:val="32"/>
          <w:szCs w:val="32"/>
        </w:rPr>
        <w:t>万元，执行率为100%。202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年决算数较202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年有所</w:t>
      </w:r>
      <w:r>
        <w:rPr>
          <w:rFonts w:hint="eastAsia" w:ascii="仿宋" w:hAnsi="仿宋" w:eastAsia="仿宋" w:cs="仿宋"/>
          <w:kern w:val="0"/>
          <w:sz w:val="32"/>
          <w:szCs w:val="32"/>
          <w:lang w:val="en-US" w:eastAsia="zh-CN"/>
        </w:rPr>
        <w:t>下降</w:t>
      </w:r>
      <w:r>
        <w:rPr>
          <w:rFonts w:hint="eastAsia" w:ascii="仿宋" w:hAnsi="仿宋" w:eastAsia="仿宋" w:cs="仿宋"/>
          <w:kern w:val="0"/>
          <w:sz w:val="32"/>
          <w:szCs w:val="32"/>
        </w:rPr>
        <w:t>，主要</w:t>
      </w:r>
      <w:r>
        <w:rPr>
          <w:rFonts w:hint="eastAsia" w:ascii="仿宋" w:hAnsi="仿宋" w:eastAsia="仿宋" w:cs="仿宋"/>
          <w:kern w:val="0"/>
          <w:sz w:val="32"/>
          <w:szCs w:val="32"/>
          <w:lang w:val="en-US" w:eastAsia="zh-CN"/>
        </w:rPr>
        <w:t>原因在2023年合理控制各项开支，提升资金绩效</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2023年人居环境、镇村振兴、农村基础设施建设、防火防汛等工作都圆满完成，群众满意度较高。</w:t>
      </w:r>
    </w:p>
    <w:p w14:paraId="0F18FD3A">
      <w:pPr>
        <w:keepNext w:val="0"/>
        <w:keepLines w:val="0"/>
        <w:pageBreakBefore w:val="0"/>
        <w:widowControl w:val="0"/>
        <w:numPr>
          <w:ilvl w:val="0"/>
          <w:numId w:val="2"/>
        </w:numPr>
        <w:kinsoku/>
        <w:wordWrap/>
        <w:overflowPunct/>
        <w:topLinePunct w:val="0"/>
        <w:autoSpaceDE/>
        <w:autoSpaceDN/>
        <w:bidi w:val="0"/>
        <w:adjustRightInd w:val="0"/>
        <w:snapToGrid w:val="0"/>
        <w:spacing w:after="157" w:afterLines="50" w:line="360" w:lineRule="auto"/>
        <w:ind w:left="64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资产管理情况</w:t>
      </w:r>
    </w:p>
    <w:p w14:paraId="27AEA39A">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镇严格按照《资产管理制度》，明确了资产配置、资产采购、资产使用、资产调配、资产报废等各环节的流程及审批权限，并严格按照制度执行，以确保固定资产配置合理、采购合规、使用高效、管理规范。一是指定由专人负责资产管理工作；二是共享共用，盘活存量资产。对打印机、传真机等均做到了共享共用；对于已达报废年限、尚可使用的资产，坚持能用则用的原则，最大程度发挥资产使用效益；三是合理配置、采购有序。我镇严格按照财政资产配置相关标准并结合单位资产使用情况，申报采购。</w:t>
      </w:r>
    </w:p>
    <w:p w14:paraId="3DC00081">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截止2023年年末，安坪镇国有资产801.25万元，占资产总额100%。固定资产总额529.3万元，土地、房屋及建筑物166.3万元，占比86.81%；设备25.44万元，占比3.18%；家具、用具27.92万元，占比3.48%。</w:t>
      </w:r>
    </w:p>
    <w:p w14:paraId="0E974FB0">
      <w:pPr>
        <w:pStyle w:val="8"/>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14:paraId="3B197CF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部门绩效目标设置不够完备。</w:t>
      </w:r>
    </w:p>
    <w:p w14:paraId="27693584">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预算编制不够扎实。在预算执行过程中调整变动较大，客观存在实际支出与年初预算发生偏差。</w:t>
      </w:r>
    </w:p>
    <w:p w14:paraId="22A94B8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3、部分款项支付不及时。</w:t>
      </w:r>
    </w:p>
    <w:p w14:paraId="34F4DE03">
      <w:pPr>
        <w:widowControl/>
        <w:spacing w:line="600" w:lineRule="exact"/>
        <w:ind w:firstLine="640" w:firstLineChars="200"/>
        <w:jc w:val="left"/>
        <w:rPr>
          <w:rFonts w:hint="eastAsia" w:eastAsia="黑体"/>
          <w:sz w:val="32"/>
          <w:szCs w:val="32"/>
        </w:rPr>
      </w:pPr>
      <w:r>
        <w:rPr>
          <w:rFonts w:hint="eastAsia" w:eastAsia="黑体"/>
          <w:sz w:val="32"/>
          <w:szCs w:val="32"/>
        </w:rPr>
        <w:t>八、下一步改进措施</w:t>
      </w:r>
    </w:p>
    <w:p w14:paraId="7DBB36C5">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进一步规范绩效目标编制。在编制绩效目标时，要求指向明确，细化量化、合理可行。</w:t>
      </w:r>
      <w:r>
        <w:rPr>
          <w:rFonts w:hint="eastAsia" w:ascii="仿宋" w:hAnsi="仿宋" w:eastAsia="仿宋" w:cs="仿宋"/>
          <w:kern w:val="0"/>
          <w:sz w:val="32"/>
          <w:szCs w:val="32"/>
        </w:rPr>
        <w:t>进一步加强单位内部机构各</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的预算管理意识，严格按照预算编制的相关制度和要求进行预算编制</w:t>
      </w:r>
      <w:r>
        <w:rPr>
          <w:rFonts w:hint="eastAsia" w:ascii="仿宋" w:hAnsi="仿宋" w:eastAsia="仿宋" w:cs="仿宋"/>
          <w:kern w:val="0"/>
          <w:sz w:val="32"/>
          <w:szCs w:val="32"/>
          <w:lang w:eastAsia="zh-CN"/>
        </w:rPr>
        <w:t>。</w:t>
      </w:r>
    </w:p>
    <w:p w14:paraId="30F3F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2.加快预算执行力度，强化预算约束。增强预算的刚性约束，严格做到“无预算不支出”，强化预算对执行的控制。</w:t>
      </w:r>
    </w:p>
    <w:p w14:paraId="6E277E3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黑体"/>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02D33A78">
      <w:pPr>
        <w:keepNext w:val="0"/>
        <w:keepLines w:val="0"/>
        <w:pageBreakBefore w:val="0"/>
        <w:widowControl/>
        <w:kinsoku/>
        <w:wordWrap/>
        <w:overflowPunct/>
        <w:topLinePunct w:val="0"/>
        <w:autoSpaceDE/>
        <w:autoSpaceDN/>
        <w:bidi w:val="0"/>
        <w:spacing w:line="360" w:lineRule="auto"/>
        <w:ind w:firstLine="645"/>
        <w:jc w:val="left"/>
        <w:textAlignment w:val="auto"/>
        <w:rPr>
          <w:rFonts w:hint="eastAsia" w:eastAsia="黑体"/>
          <w:sz w:val="32"/>
          <w:szCs w:val="32"/>
        </w:rPr>
      </w:pPr>
      <w:r>
        <w:rPr>
          <w:rFonts w:hint="eastAsia" w:eastAsia="黑体"/>
          <w:sz w:val="32"/>
          <w:szCs w:val="32"/>
        </w:rPr>
        <w:t>九、部门整体支出绩效自评结果拟应用和公开情况</w:t>
      </w:r>
    </w:p>
    <w:p w14:paraId="79416C3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镇将于公开2023年决算安坪镇人民政府决算报告时同步在安坪镇门户网站上全文公开部门整体支出绩效自评报告，接受社会公众监督。通过开展绩效自评工作，一方面提高我镇工作人员的绩效管理意识，对自评过程中发现的问题及时督促各部门加以整改，巩固绩效成果；另一方面充分发挥绩效评价体系作用，做到绩效有目标，过程有监督，绩效有评价，评价有反馈，反馈有应用。</w:t>
      </w:r>
    </w:p>
    <w:p w14:paraId="6488C0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eastAsia="黑体"/>
          <w:sz w:val="32"/>
          <w:szCs w:val="32"/>
        </w:rPr>
      </w:pPr>
      <w:r>
        <w:rPr>
          <w:rFonts w:hint="eastAsia" w:eastAsia="黑体"/>
          <w:sz w:val="32"/>
          <w:szCs w:val="32"/>
        </w:rPr>
        <w:t>十、其他需要说明的情况</w:t>
      </w:r>
    </w:p>
    <w:p w14:paraId="7C684BB3">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sz w:val="32"/>
          <w:szCs w:val="32"/>
          <w:lang w:eastAsia="zh-CN"/>
        </w:rPr>
      </w:pPr>
      <w:r>
        <w:rPr>
          <w:rFonts w:hint="eastAsia"/>
          <w:sz w:val="32"/>
          <w:szCs w:val="32"/>
          <w:lang w:eastAsia="zh-CN"/>
        </w:rPr>
        <w:t>无</w:t>
      </w:r>
    </w:p>
    <w:p w14:paraId="67B9BEAC">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sz w:val="32"/>
          <w:szCs w:val="32"/>
          <w:lang w:eastAsia="zh-CN"/>
        </w:rPr>
      </w:pPr>
    </w:p>
    <w:p w14:paraId="0061D63E">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jc w:val="right"/>
        <w:textAlignment w:val="auto"/>
        <w:rPr>
          <w:rFonts w:hint="eastAsia"/>
          <w:sz w:val="32"/>
          <w:szCs w:val="32"/>
          <w:lang w:eastAsia="zh-CN"/>
        </w:rPr>
      </w:pPr>
      <w:r>
        <w:rPr>
          <w:rFonts w:hint="eastAsia"/>
          <w:sz w:val="32"/>
          <w:szCs w:val="32"/>
          <w:lang w:eastAsia="zh-CN"/>
        </w:rPr>
        <w:t>辰溪县安坪镇人民政府</w:t>
      </w:r>
    </w:p>
    <w:p w14:paraId="17957B14">
      <w:pPr>
        <w:jc w:val="right"/>
      </w:pPr>
      <w:r>
        <w:rPr>
          <w:rFonts w:hint="eastAsia"/>
          <w:sz w:val="32"/>
          <w:szCs w:val="32"/>
          <w:lang w:val="en-US" w:eastAsia="zh-CN"/>
        </w:rPr>
        <w:t>2024年4月8日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B7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32F30">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532F30">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E6F71"/>
    <w:multiLevelType w:val="singleLevel"/>
    <w:tmpl w:val="2D2E6F71"/>
    <w:lvl w:ilvl="0" w:tentative="0">
      <w:start w:val="1"/>
      <w:numFmt w:val="chineseCounting"/>
      <w:suff w:val="nothing"/>
      <w:lvlText w:val="（%1）"/>
      <w:lvlJc w:val="left"/>
      <w:rPr>
        <w:rFonts w:hint="eastAsia"/>
      </w:rPr>
    </w:lvl>
  </w:abstractNum>
  <w:abstractNum w:abstractNumId="1">
    <w:nsid w:val="4F4D681B"/>
    <w:multiLevelType w:val="singleLevel"/>
    <w:tmpl w:val="4F4D68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60C3646B"/>
    <w:rsid w:val="04E75733"/>
    <w:rsid w:val="1FFE9691"/>
    <w:rsid w:val="25BDDD64"/>
    <w:rsid w:val="28B90BE4"/>
    <w:rsid w:val="37DF1E67"/>
    <w:rsid w:val="3FF30779"/>
    <w:rsid w:val="43452D76"/>
    <w:rsid w:val="47A5361A"/>
    <w:rsid w:val="555B292C"/>
    <w:rsid w:val="57AE4016"/>
    <w:rsid w:val="589C176E"/>
    <w:rsid w:val="60C3646B"/>
    <w:rsid w:val="65958A76"/>
    <w:rsid w:val="6FBF8D5A"/>
    <w:rsid w:val="75FEBAE8"/>
    <w:rsid w:val="7BFFB5AF"/>
    <w:rsid w:val="7EB56E6C"/>
    <w:rsid w:val="7FDED3F6"/>
    <w:rsid w:val="8FA75EBC"/>
    <w:rsid w:val="AEFEE17C"/>
    <w:rsid w:val="B7B70F4A"/>
    <w:rsid w:val="B7DDE093"/>
    <w:rsid w:val="BFADF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3324</Words>
  <Characters>3534</Characters>
  <Lines>0</Lines>
  <Paragraphs>0</Paragraphs>
  <TotalTime>83</TotalTime>
  <ScaleCrop>false</ScaleCrop>
  <LinksUpToDate>false</LinksUpToDate>
  <CharactersWithSpaces>3541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2024-04-07T21:12:00Z</dcterms:created>
  <dc:creator>WPS_1702276374</dc:creator>
  <cp:lastModifiedBy>86135</cp:lastModifiedBy>
  <cp:lastPrinted>2024-04-07T21:20:00Z</cp:lastPrinted>
  <dcterms:modified xsi:type="dcterms:W3CDTF">2024-11-01T09:10:58Z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37B79A4297F942D9BF198C445572CA0D_13</vt:lpwstr>
  </property>
</Properties>
</file>