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both"/>
        <w:rPr>
          <w:rFonts w:ascii="宋体" w:hAnsi="宋体" w:eastAsia="宋体" w:cs="宋体"/>
          <w:b/>
          <w:kern w:val="0"/>
          <w:sz w:val="44"/>
          <w:szCs w:val="44"/>
        </w:rPr>
      </w:pPr>
    </w:p>
    <w:p>
      <w:pPr>
        <w:adjustRightInd w:val="0"/>
        <w:snapToGrid w:val="0"/>
        <w:spacing w:line="560" w:lineRule="atLeast"/>
        <w:jc w:val="center"/>
        <w:rPr>
          <w:rFonts w:ascii="宋体" w:hAnsi="宋体" w:eastAsia="宋体" w:cs="宋体"/>
          <w:b/>
          <w:kern w:val="0"/>
          <w:sz w:val="44"/>
          <w:szCs w:val="44"/>
        </w:rPr>
      </w:pPr>
    </w:p>
    <w:p>
      <w:pPr>
        <w:adjustRightInd w:val="0"/>
        <w:snapToGrid w:val="0"/>
        <w:spacing w:line="560" w:lineRule="atLeast"/>
        <w:jc w:val="center"/>
        <w:rPr>
          <w:rFonts w:ascii="宋体" w:hAnsi="宋体" w:eastAsia="宋体" w:cs="宋体"/>
          <w:b/>
          <w:kern w:val="0"/>
          <w:sz w:val="44"/>
          <w:szCs w:val="44"/>
        </w:rPr>
      </w:pPr>
    </w:p>
    <w:p>
      <w:pPr>
        <w:adjustRightInd w:val="0"/>
        <w:snapToGrid w:val="0"/>
        <w:spacing w:line="560" w:lineRule="atLeast"/>
        <w:jc w:val="center"/>
        <w:rPr>
          <w:rFonts w:ascii="宋体" w:hAnsi="宋体" w:eastAsia="宋体" w:cs="宋体"/>
          <w:b/>
          <w:kern w:val="0"/>
          <w:sz w:val="44"/>
          <w:szCs w:val="44"/>
        </w:rPr>
      </w:pPr>
    </w:p>
    <w:p>
      <w:pPr>
        <w:adjustRightInd w:val="0"/>
        <w:snapToGrid w:val="0"/>
        <w:spacing w:line="560" w:lineRule="atLeast"/>
        <w:jc w:val="center"/>
        <w:rPr>
          <w:rFonts w:ascii="宋体" w:hAnsi="宋体" w:eastAsia="宋体" w:cs="宋体"/>
          <w:b/>
          <w:kern w:val="0"/>
          <w:sz w:val="44"/>
          <w:szCs w:val="44"/>
        </w:rPr>
      </w:pPr>
    </w:p>
    <w:p>
      <w:pPr>
        <w:adjustRightInd w:val="0"/>
        <w:snapToGrid w:val="0"/>
        <w:spacing w:line="560" w:lineRule="atLeast"/>
        <w:jc w:val="center"/>
        <w:rPr>
          <w:rFonts w:ascii="宋体" w:hAnsi="宋体" w:eastAsia="宋体" w:cs="宋体"/>
          <w:b/>
          <w:kern w:val="0"/>
          <w:sz w:val="44"/>
          <w:szCs w:val="44"/>
        </w:rPr>
      </w:pPr>
    </w:p>
    <w:p>
      <w:pPr>
        <w:adjustRightInd w:val="0"/>
        <w:snapToGrid w:val="0"/>
        <w:spacing w:line="560" w:lineRule="atLeast"/>
        <w:jc w:val="center"/>
        <w:rPr>
          <w:rFonts w:ascii="宋体" w:hAnsi="宋体" w:eastAsia="宋体" w:cs="宋体"/>
          <w:b/>
          <w:kern w:val="0"/>
          <w:sz w:val="44"/>
          <w:szCs w:val="44"/>
        </w:rPr>
      </w:pPr>
      <w:r>
        <w:rPr>
          <w:rFonts w:hint="eastAsia" w:ascii="宋体" w:hAnsi="宋体" w:eastAsia="宋体" w:cs="宋体"/>
          <w:b/>
          <w:kern w:val="0"/>
          <w:sz w:val="44"/>
          <w:szCs w:val="44"/>
        </w:rPr>
        <w:t>2021年安坪镇人民政府部门整体支出</w:t>
      </w:r>
    </w:p>
    <w:p>
      <w:pPr>
        <w:adjustRightInd w:val="0"/>
        <w:snapToGrid w:val="0"/>
        <w:spacing w:line="560" w:lineRule="atLeast"/>
        <w:jc w:val="center"/>
        <w:rPr>
          <w:rFonts w:ascii="宋体" w:hAnsi="宋体" w:eastAsia="宋体" w:cs="宋体"/>
          <w:b/>
          <w:kern w:val="0"/>
          <w:sz w:val="44"/>
          <w:szCs w:val="44"/>
        </w:rPr>
      </w:pPr>
      <w:r>
        <w:rPr>
          <w:rFonts w:hint="eastAsia" w:ascii="宋体" w:hAnsi="宋体" w:eastAsia="宋体" w:cs="宋体"/>
          <w:b/>
          <w:kern w:val="0"/>
          <w:sz w:val="44"/>
          <w:szCs w:val="44"/>
        </w:rPr>
        <w:t>绩效评价报告</w:t>
      </w:r>
    </w:p>
    <w:p>
      <w:pPr>
        <w:adjustRightInd w:val="0"/>
        <w:snapToGrid w:val="0"/>
        <w:spacing w:line="560" w:lineRule="atLeast"/>
        <w:rPr>
          <w:rFonts w:ascii="宋体" w:hAnsi="宋体" w:eastAsia="宋体" w:cs="宋体"/>
          <w:b/>
          <w:kern w:val="0"/>
          <w:sz w:val="32"/>
          <w:szCs w:val="32"/>
        </w:rPr>
      </w:pPr>
    </w:p>
    <w:p>
      <w:pPr>
        <w:adjustRightInd w:val="0"/>
        <w:snapToGrid w:val="0"/>
        <w:spacing w:line="560" w:lineRule="atLeast"/>
        <w:jc w:val="center"/>
        <w:rPr>
          <w:rFonts w:ascii="宋体" w:hAnsi="宋体" w:eastAsia="宋体" w:cs="宋体"/>
          <w:b/>
          <w:kern w:val="0"/>
          <w:sz w:val="32"/>
          <w:szCs w:val="32"/>
        </w:rPr>
      </w:pPr>
    </w:p>
    <w:p>
      <w:pPr>
        <w:adjustRightInd w:val="0"/>
        <w:snapToGrid w:val="0"/>
        <w:spacing w:line="540" w:lineRule="atLeast"/>
        <w:ind w:firstLine="643" w:firstLineChars="200"/>
        <w:rPr>
          <w:rFonts w:ascii="宋体" w:hAnsi="宋体" w:eastAsia="宋体" w:cs="宋体"/>
          <w:b/>
          <w:sz w:val="32"/>
          <w:szCs w:val="32"/>
        </w:rPr>
      </w:pPr>
      <w:r>
        <w:rPr>
          <w:rFonts w:hint="eastAsia" w:ascii="宋体" w:hAnsi="宋体" w:eastAsia="宋体" w:cs="宋体"/>
          <w:b/>
          <w:sz w:val="32"/>
          <w:szCs w:val="32"/>
        </w:rPr>
        <w:t>一、部门基本情况</w:t>
      </w:r>
    </w:p>
    <w:p>
      <w:pPr>
        <w:adjustRightInd w:val="0"/>
        <w:snapToGrid w:val="0"/>
        <w:spacing w:line="540" w:lineRule="atLeast"/>
        <w:ind w:firstLine="600" w:firstLineChars="200"/>
        <w:rPr>
          <w:rFonts w:ascii="仿宋" w:hAnsi="仿宋" w:eastAsia="仿宋" w:cs="仿宋"/>
          <w:kern w:val="0"/>
          <w:sz w:val="30"/>
          <w:szCs w:val="30"/>
        </w:rPr>
      </w:pPr>
      <w:r>
        <w:rPr>
          <w:rFonts w:hint="eastAsia" w:ascii="仿宋" w:hAnsi="仿宋" w:eastAsia="仿宋" w:cs="仿宋"/>
          <w:kern w:val="0"/>
          <w:sz w:val="30"/>
          <w:szCs w:val="30"/>
        </w:rPr>
        <w:t>（一）</w:t>
      </w:r>
      <w:r>
        <w:rPr>
          <w:rFonts w:hint="eastAsia" w:ascii="仿宋" w:hAnsi="仿宋" w:eastAsia="仿宋" w:cs="仿宋"/>
          <w:b/>
          <w:bCs/>
          <w:kern w:val="0"/>
          <w:sz w:val="30"/>
          <w:szCs w:val="30"/>
        </w:rPr>
        <w:t>部门职能与机构设置</w:t>
      </w:r>
    </w:p>
    <w:p>
      <w:pPr>
        <w:adjustRightInd w:val="0"/>
        <w:snapToGrid w:val="0"/>
        <w:spacing w:line="540" w:lineRule="atLeast"/>
        <w:ind w:left="420" w:leftChars="200"/>
        <w:rPr>
          <w:rFonts w:ascii="仿宋" w:hAnsi="仿宋" w:eastAsia="仿宋" w:cs="仿宋"/>
          <w:kern w:val="0"/>
          <w:sz w:val="30"/>
          <w:szCs w:val="30"/>
        </w:rPr>
      </w:pPr>
      <w:r>
        <w:rPr>
          <w:rFonts w:hint="eastAsia" w:ascii="仿宋" w:hAnsi="仿宋" w:eastAsia="仿宋" w:cs="仿宋"/>
          <w:kern w:val="0"/>
          <w:sz w:val="30"/>
          <w:szCs w:val="30"/>
        </w:rPr>
        <w:t>辰溪县安坪镇人民政府基本职能：承担促进经济发展、搞好公共服务、加强社会管理、维护社会稳定等综合职能。具体职能如下：1、认真贯彻国家的方针政策、法律、法规，严格遵循财经纪律和各项规章制度。2、执行本级人民代表大会的决议和上级国家行政机关的决定和命令。3、执行本行政区域内的经济和社会发展计划、预算，管理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pPr>
        <w:adjustRightInd w:val="0"/>
        <w:snapToGrid w:val="0"/>
        <w:spacing w:line="540" w:lineRule="atLeast"/>
        <w:ind w:left="420" w:leftChars="200" w:firstLine="600" w:firstLineChars="200"/>
        <w:rPr>
          <w:rFonts w:ascii="仿宋" w:hAnsi="仿宋" w:eastAsia="仿宋" w:cs="仿宋"/>
          <w:kern w:val="0"/>
          <w:sz w:val="30"/>
          <w:szCs w:val="30"/>
        </w:rPr>
      </w:pPr>
      <w:r>
        <w:rPr>
          <w:rFonts w:hint="eastAsia" w:ascii="仿宋" w:hAnsi="仿宋" w:eastAsia="仿宋" w:cs="仿宋"/>
          <w:kern w:val="0"/>
          <w:sz w:val="30"/>
          <w:szCs w:val="30"/>
        </w:rPr>
        <w:t>机构设置情况：安坪镇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w:t>
      </w:r>
    </w:p>
    <w:p>
      <w:pPr>
        <w:adjustRightInd w:val="0"/>
        <w:snapToGrid w:val="0"/>
        <w:spacing w:line="540" w:lineRule="atLeast"/>
        <w:ind w:left="420" w:leftChars="200" w:firstLine="600" w:firstLineChars="200"/>
        <w:rPr>
          <w:rFonts w:ascii="仿宋" w:hAnsi="仿宋" w:eastAsia="仿宋" w:cs="仿宋"/>
          <w:kern w:val="0"/>
          <w:sz w:val="30"/>
          <w:szCs w:val="30"/>
        </w:rPr>
      </w:pPr>
    </w:p>
    <w:p>
      <w:pPr>
        <w:numPr>
          <w:ilvl w:val="0"/>
          <w:numId w:val="1"/>
        </w:numPr>
        <w:adjustRightInd w:val="0"/>
        <w:snapToGrid w:val="0"/>
        <w:spacing w:line="540" w:lineRule="atLeast"/>
        <w:ind w:firstLine="602" w:firstLineChars="200"/>
        <w:rPr>
          <w:rFonts w:ascii="仿宋" w:hAnsi="仿宋" w:eastAsia="仿宋" w:cs="仿宋"/>
          <w:b/>
          <w:bCs/>
          <w:kern w:val="0"/>
          <w:sz w:val="30"/>
          <w:szCs w:val="30"/>
        </w:rPr>
      </w:pPr>
      <w:r>
        <w:rPr>
          <w:rFonts w:hint="eastAsia" w:ascii="仿宋" w:hAnsi="仿宋" w:eastAsia="仿宋" w:cs="仿宋"/>
          <w:b/>
          <w:bCs/>
          <w:kern w:val="0"/>
          <w:sz w:val="30"/>
          <w:szCs w:val="30"/>
        </w:rPr>
        <w:t>人员情况</w:t>
      </w:r>
    </w:p>
    <w:p>
      <w:pPr>
        <w:pStyle w:val="4"/>
        <w:shd w:val="clear" w:color="auto" w:fill="FFFFFF"/>
        <w:spacing w:before="0" w:beforeAutospacing="0" w:after="0" w:afterAutospacing="0" w:line="540" w:lineRule="atLeast"/>
        <w:ind w:left="420" w:leftChars="200"/>
        <w:jc w:val="both"/>
        <w:rPr>
          <w:rFonts w:ascii="仿宋" w:hAnsi="仿宋" w:eastAsia="仿宋" w:cs="仿宋"/>
          <w:sz w:val="30"/>
          <w:szCs w:val="30"/>
        </w:rPr>
      </w:pPr>
      <w:r>
        <w:rPr>
          <w:rFonts w:hint="eastAsia" w:ascii="仿宋" w:hAnsi="仿宋" w:eastAsia="仿宋" w:cs="仿宋"/>
          <w:sz w:val="30"/>
          <w:szCs w:val="30"/>
        </w:rPr>
        <w:t>人员情况：截至2021年底，安坪镇人民政府核定人员编制87人，行政编制34人，事业编制53人；实际在编73人（行政编制25人，事业编制48人），财政实际供给73人。</w:t>
      </w:r>
    </w:p>
    <w:p>
      <w:pPr>
        <w:numPr>
          <w:ilvl w:val="0"/>
          <w:numId w:val="1"/>
        </w:numPr>
        <w:adjustRightInd w:val="0"/>
        <w:snapToGrid w:val="0"/>
        <w:spacing w:line="540" w:lineRule="atLeast"/>
        <w:ind w:firstLine="602" w:firstLineChars="200"/>
        <w:rPr>
          <w:rFonts w:ascii="仿宋" w:hAnsi="仿宋" w:eastAsia="仿宋" w:cs="仿宋"/>
          <w:b/>
          <w:bCs/>
          <w:kern w:val="0"/>
          <w:sz w:val="30"/>
          <w:szCs w:val="30"/>
        </w:rPr>
      </w:pPr>
      <w:r>
        <w:rPr>
          <w:rFonts w:hint="eastAsia" w:ascii="仿宋" w:hAnsi="仿宋" w:eastAsia="仿宋" w:cs="仿宋"/>
          <w:b/>
          <w:bCs/>
          <w:kern w:val="0"/>
          <w:sz w:val="30"/>
          <w:szCs w:val="30"/>
        </w:rPr>
        <w:t>部门年度总体工作任务和重点工作任务</w:t>
      </w:r>
    </w:p>
    <w:p>
      <w:pPr>
        <w:adjustRightInd w:val="0"/>
        <w:snapToGrid w:val="0"/>
        <w:spacing w:line="540" w:lineRule="atLeast"/>
        <w:ind w:left="420" w:leftChars="200"/>
        <w:rPr>
          <w:rFonts w:ascii="仿宋" w:hAnsi="仿宋" w:eastAsia="仿宋" w:cs="仿宋"/>
          <w:kern w:val="0"/>
          <w:sz w:val="30"/>
          <w:szCs w:val="30"/>
        </w:rPr>
      </w:pPr>
      <w:r>
        <w:rPr>
          <w:rFonts w:hint="eastAsia" w:ascii="仿宋" w:hAnsi="仿宋" w:eastAsia="仿宋" w:cs="仿宋"/>
          <w:kern w:val="0"/>
          <w:sz w:val="30"/>
          <w:szCs w:val="30"/>
        </w:rPr>
        <w:t xml:space="preserve">    总体工作任务为执行乡人民代表大会的决议和上级国家行政机关的决定和命令；发展和管理本辖区的经济、教育、科学、文化、卫生、体育事业和财政、民政、公安、司法行政、计划生育等行政工作；维护社会秩序，确保社会稳定，保障公民的人身权利、民主权利和其他权利。重点工作任务为做好防灾减灾、优抚安置、低保、扶贫救济等社会救助工作；开展疫情防控工作；乡村环境卫生整治工作等。</w:t>
      </w:r>
    </w:p>
    <w:p>
      <w:pPr>
        <w:numPr>
          <w:ilvl w:val="0"/>
          <w:numId w:val="1"/>
        </w:numPr>
        <w:adjustRightInd w:val="0"/>
        <w:snapToGrid w:val="0"/>
        <w:spacing w:line="540" w:lineRule="atLeast"/>
        <w:ind w:firstLine="602" w:firstLineChars="200"/>
        <w:rPr>
          <w:rFonts w:ascii="仿宋" w:hAnsi="仿宋" w:eastAsia="仿宋" w:cs="仿宋"/>
          <w:b/>
          <w:bCs/>
          <w:kern w:val="0"/>
          <w:sz w:val="30"/>
          <w:szCs w:val="30"/>
        </w:rPr>
      </w:pPr>
      <w:r>
        <w:rPr>
          <w:rFonts w:hint="eastAsia" w:ascii="仿宋" w:hAnsi="仿宋" w:eastAsia="仿宋" w:cs="仿宋"/>
          <w:b/>
          <w:bCs/>
          <w:kern w:val="0"/>
          <w:sz w:val="30"/>
          <w:szCs w:val="30"/>
        </w:rPr>
        <w:t>部门年度整体收支情况</w:t>
      </w:r>
    </w:p>
    <w:p>
      <w:pPr>
        <w:adjustRightInd w:val="0"/>
        <w:snapToGrid w:val="0"/>
        <w:spacing w:line="540" w:lineRule="atLeast"/>
        <w:ind w:left="420" w:leftChars="200"/>
        <w:rPr>
          <w:rFonts w:ascii="仿宋" w:hAnsi="仿宋" w:eastAsia="仿宋" w:cs="仿宋"/>
          <w:kern w:val="0"/>
          <w:sz w:val="30"/>
          <w:szCs w:val="30"/>
        </w:rPr>
      </w:pPr>
      <w:r>
        <w:rPr>
          <w:rFonts w:hint="eastAsia" w:ascii="仿宋" w:hAnsi="仿宋" w:eastAsia="仿宋" w:cs="仿宋"/>
          <w:kern w:val="0"/>
          <w:sz w:val="30"/>
          <w:szCs w:val="30"/>
        </w:rPr>
        <w:t xml:space="preserve">    2021年共取得预算收入1532.52万元，其中：财政拨款收入1532.52万元，占100%；上级补助收入0万元，占0%；事业收入0万元，占0%；经营收入0万元，占0%；附属单位上缴收入0万元，占0%；其他收入0万元，占0%。</w:t>
      </w:r>
    </w:p>
    <w:p>
      <w:pPr>
        <w:adjustRightInd w:val="0"/>
        <w:snapToGrid w:val="0"/>
        <w:spacing w:line="540" w:lineRule="atLeast"/>
        <w:ind w:left="420" w:leftChars="200" w:firstLine="560"/>
        <w:rPr>
          <w:rFonts w:ascii="仿宋" w:hAnsi="仿宋" w:eastAsia="仿宋" w:cs="仿宋"/>
          <w:kern w:val="0"/>
          <w:sz w:val="30"/>
          <w:szCs w:val="30"/>
        </w:rPr>
      </w:pPr>
      <w:r>
        <w:rPr>
          <w:rFonts w:hint="eastAsia" w:ascii="仿宋" w:hAnsi="仿宋" w:eastAsia="仿宋" w:cs="仿宋"/>
          <w:kern w:val="0"/>
          <w:sz w:val="30"/>
          <w:szCs w:val="30"/>
        </w:rPr>
        <w:t>预算支出合计1532.52万元，其中：基本支出1532.52万元，占100%；项目支出0万元，占0%；上缴上级支出0万元，占0 %；经营支出0万元，占0%；对附属单位补助支出0万元，占0%。</w:t>
      </w:r>
    </w:p>
    <w:p>
      <w:pPr>
        <w:adjustRightInd w:val="0"/>
        <w:snapToGrid w:val="0"/>
        <w:spacing w:line="540" w:lineRule="atLeast"/>
        <w:ind w:left="420" w:leftChars="200" w:firstLine="560"/>
        <w:rPr>
          <w:rFonts w:ascii="仿宋" w:hAnsi="仿宋" w:eastAsia="仿宋" w:cs="仿宋"/>
          <w:kern w:val="0"/>
          <w:sz w:val="30"/>
          <w:szCs w:val="30"/>
        </w:rPr>
      </w:pPr>
      <w:r>
        <w:rPr>
          <w:rFonts w:hint="eastAsia" w:ascii="仿宋" w:hAnsi="仿宋" w:eastAsia="仿宋" w:cs="仿宋"/>
          <w:kern w:val="0"/>
          <w:sz w:val="30"/>
          <w:szCs w:val="30"/>
        </w:rPr>
        <w:t>832平台及电子卖场乡村振兴馆采购预留份额共计1万元。</w:t>
      </w:r>
    </w:p>
    <w:p>
      <w:pPr>
        <w:numPr>
          <w:ilvl w:val="0"/>
          <w:numId w:val="1"/>
        </w:numPr>
        <w:adjustRightInd w:val="0"/>
        <w:snapToGrid w:val="0"/>
        <w:spacing w:line="540" w:lineRule="atLeast"/>
        <w:ind w:firstLine="602" w:firstLineChars="200"/>
        <w:rPr>
          <w:rFonts w:ascii="仿宋" w:hAnsi="仿宋" w:eastAsia="仿宋" w:cs="仿宋"/>
          <w:b/>
          <w:bCs/>
          <w:kern w:val="0"/>
          <w:sz w:val="30"/>
          <w:szCs w:val="30"/>
        </w:rPr>
      </w:pPr>
      <w:r>
        <w:rPr>
          <w:rFonts w:hint="eastAsia" w:ascii="仿宋" w:hAnsi="仿宋" w:eastAsia="仿宋" w:cs="仿宋"/>
          <w:b/>
          <w:bCs/>
          <w:kern w:val="0"/>
          <w:sz w:val="30"/>
          <w:szCs w:val="30"/>
        </w:rPr>
        <w:t>部门年度整体工作目标任务完成情况</w:t>
      </w:r>
    </w:p>
    <w:p>
      <w:pPr>
        <w:adjustRightInd w:val="0"/>
        <w:snapToGrid w:val="0"/>
        <w:spacing w:line="540" w:lineRule="atLeast"/>
        <w:ind w:left="420" w:leftChars="200"/>
        <w:rPr>
          <w:rFonts w:ascii="仿宋" w:hAnsi="仿宋" w:eastAsia="仿宋" w:cs="仿宋"/>
          <w:kern w:val="0"/>
          <w:sz w:val="30"/>
          <w:szCs w:val="30"/>
        </w:rPr>
      </w:pPr>
      <w:r>
        <w:rPr>
          <w:rFonts w:hint="eastAsia" w:ascii="仿宋" w:hAnsi="仿宋" w:eastAsia="仿宋" w:cs="仿宋"/>
          <w:kern w:val="0"/>
          <w:sz w:val="30"/>
          <w:szCs w:val="30"/>
        </w:rPr>
        <w:t xml:space="preserve">    项目预算编制合理，充分的预计项目支出并完整反应，预算执行率达100%，未出现截留、挤占、挪用、虚列支出等情况。项目采购方式合规、采购流程规范，本年度支出的所有资金均由县财政局国库支付，支出符合国家财经法规和财务管理制度规定以及有关专项资金管理办法的规定；资金拨付有完整的审批程序和手续；项目支出按规定经过评估论证。我单位不断改善行政管理、严格经费及资产管理；做好防汛抗旱、防治大气污染工作；督促和指导乡村抓好基础管理工作和安全生产工作；改进文风会风，精简会议，提高了行政效率，各方面工作得到社会大众的肯定和好评，在年度绩效考核中成绩优异。</w:t>
      </w:r>
    </w:p>
    <w:p>
      <w:pPr>
        <w:adjustRightInd w:val="0"/>
        <w:snapToGrid w:val="0"/>
        <w:spacing w:line="540" w:lineRule="atLeast"/>
        <w:ind w:firstLine="643" w:firstLineChars="200"/>
        <w:rPr>
          <w:rFonts w:ascii="仿宋_GB2312" w:hAnsi="仿宋_GB2312" w:eastAsia="仿宋_GB2312" w:cs="仿宋_GB2312"/>
          <w:bCs/>
          <w:sz w:val="32"/>
          <w:szCs w:val="32"/>
        </w:rPr>
      </w:pPr>
      <w:r>
        <w:rPr>
          <w:rFonts w:hint="eastAsia" w:ascii="仿宋" w:hAnsi="仿宋" w:eastAsia="仿宋" w:cs="仿宋"/>
          <w:b/>
          <w:sz w:val="32"/>
          <w:szCs w:val="32"/>
        </w:rPr>
        <w:t>二、部门整体评价工作开展</w:t>
      </w:r>
    </w:p>
    <w:p>
      <w:pPr>
        <w:adjustRightInd w:val="0"/>
        <w:snapToGrid w:val="0"/>
        <w:spacing w:line="540" w:lineRule="atLeast"/>
        <w:ind w:firstLine="600" w:firstLineChars="200"/>
        <w:rPr>
          <w:rFonts w:ascii="仿宋" w:hAnsi="仿宋" w:eastAsia="仿宋" w:cs="仿宋"/>
          <w:kern w:val="0"/>
          <w:sz w:val="30"/>
          <w:szCs w:val="30"/>
        </w:rPr>
      </w:pPr>
      <w:r>
        <w:rPr>
          <w:rFonts w:hint="eastAsia" w:ascii="仿宋" w:hAnsi="仿宋" w:eastAsia="仿宋" w:cs="仿宋"/>
          <w:kern w:val="0"/>
          <w:sz w:val="30"/>
          <w:szCs w:val="30"/>
        </w:rPr>
        <w:t>（一）绩效评价实施过程情况</w:t>
      </w:r>
    </w:p>
    <w:p>
      <w:pPr>
        <w:adjustRightInd w:val="0"/>
        <w:snapToGrid w:val="0"/>
        <w:spacing w:line="540" w:lineRule="atLeast"/>
        <w:ind w:left="420" w:leftChars="200" w:firstLine="600" w:firstLineChars="200"/>
        <w:rPr>
          <w:rFonts w:ascii="仿宋" w:hAnsi="仿宋" w:eastAsia="仿宋" w:cs="仿宋"/>
          <w:kern w:val="0"/>
          <w:sz w:val="30"/>
          <w:szCs w:val="30"/>
        </w:rPr>
      </w:pPr>
      <w:r>
        <w:rPr>
          <w:rFonts w:hint="eastAsia" w:ascii="仿宋" w:hAnsi="仿宋" w:eastAsia="仿宋" w:cs="仿宋"/>
          <w:kern w:val="0"/>
          <w:sz w:val="30"/>
          <w:szCs w:val="30"/>
        </w:rPr>
        <w:t>采用“4E”评价法及平衡记分法，从经济性、效率性、效益性、公平性、群众满意度进行政府绩效评价。通过对比年末预决算数据来评估经济性、效益性、公平性，在日常工作中收集群众反馈问题及投诉来评估群众满意度，更加全面、细致的完成部门整体评价。</w:t>
      </w:r>
    </w:p>
    <w:p>
      <w:pPr>
        <w:adjustRightInd w:val="0"/>
        <w:snapToGrid w:val="0"/>
        <w:spacing w:line="540" w:lineRule="atLeast"/>
        <w:ind w:firstLine="600" w:firstLineChars="200"/>
        <w:rPr>
          <w:rFonts w:ascii="仿宋" w:hAnsi="仿宋" w:eastAsia="仿宋" w:cs="仿宋"/>
          <w:kern w:val="0"/>
          <w:sz w:val="30"/>
          <w:szCs w:val="30"/>
        </w:rPr>
      </w:pPr>
      <w:r>
        <w:rPr>
          <w:rFonts w:hint="eastAsia" w:ascii="仿宋" w:hAnsi="仿宋" w:eastAsia="仿宋" w:cs="仿宋"/>
          <w:kern w:val="0"/>
          <w:sz w:val="30"/>
          <w:szCs w:val="30"/>
        </w:rPr>
        <w:t>（二）绩效评价整体结果概况</w:t>
      </w:r>
    </w:p>
    <w:p>
      <w:pPr>
        <w:adjustRightInd w:val="0"/>
        <w:snapToGrid w:val="0"/>
        <w:spacing w:line="540" w:lineRule="atLeast"/>
        <w:ind w:left="420" w:leftChars="200" w:firstLine="600" w:firstLineChars="200"/>
        <w:rPr>
          <w:rFonts w:ascii="仿宋" w:hAnsi="仿宋" w:eastAsia="仿宋" w:cs="仿宋"/>
          <w:kern w:val="0"/>
          <w:sz w:val="30"/>
          <w:szCs w:val="30"/>
        </w:rPr>
      </w:pPr>
      <w:r>
        <w:rPr>
          <w:rFonts w:hint="eastAsia" w:ascii="仿宋" w:hAnsi="仿宋" w:eastAsia="仿宋" w:cs="仿宋"/>
          <w:kern w:val="0"/>
          <w:sz w:val="30"/>
          <w:szCs w:val="30"/>
        </w:rPr>
        <w:t>2021年初预算数为1395.82万元。其中，一般公共预算拨款837.26万元，其他资金拨款558.56万元。2021年决算数1532.52万元，执行率为</w:t>
      </w:r>
      <w:r>
        <w:rPr>
          <w:rFonts w:hint="eastAsia" w:ascii="仿宋" w:hAnsi="仿宋" w:eastAsia="仿宋" w:cs="仿宋"/>
          <w:kern w:val="0"/>
          <w:sz w:val="30"/>
          <w:szCs w:val="30"/>
          <w:lang w:val="en-US" w:eastAsia="zh-CN"/>
        </w:rPr>
        <w:t>100</w:t>
      </w:r>
      <w:r>
        <w:rPr>
          <w:rFonts w:hint="eastAsia" w:ascii="仿宋" w:hAnsi="仿宋" w:eastAsia="仿宋" w:cs="仿宋"/>
          <w:kern w:val="0"/>
          <w:sz w:val="30"/>
          <w:szCs w:val="30"/>
        </w:rPr>
        <w:t>%。三公经费13.24万元。</w:t>
      </w:r>
    </w:p>
    <w:p>
      <w:pPr>
        <w:adjustRightInd w:val="0"/>
        <w:snapToGrid w:val="0"/>
        <w:spacing w:line="540" w:lineRule="atLeast"/>
        <w:ind w:firstLine="643" w:firstLineChars="200"/>
        <w:rPr>
          <w:rFonts w:ascii="仿宋_GB2312" w:hAnsi="仿宋_GB2312" w:eastAsia="仿宋_GB2312" w:cs="仿宋_GB2312"/>
          <w:b/>
          <w:kern w:val="0"/>
          <w:sz w:val="28"/>
          <w:szCs w:val="28"/>
        </w:rPr>
      </w:pPr>
      <w:r>
        <w:rPr>
          <w:rFonts w:hint="eastAsia" w:ascii="仿宋_GB2312" w:hAnsi="仿宋_GB2312" w:eastAsia="仿宋_GB2312" w:cs="仿宋_GB2312"/>
          <w:b/>
          <w:kern w:val="0"/>
          <w:sz w:val="32"/>
          <w:szCs w:val="32"/>
        </w:rPr>
        <w:t>三、部门整体支出绩效评价分析</w:t>
      </w:r>
    </w:p>
    <w:p>
      <w:pPr>
        <w:adjustRightInd w:val="0"/>
        <w:snapToGrid w:val="0"/>
        <w:spacing w:line="540" w:lineRule="atLeast"/>
        <w:ind w:firstLine="600" w:firstLineChars="200"/>
        <w:rPr>
          <w:rFonts w:ascii="仿宋" w:hAnsi="仿宋" w:eastAsia="仿宋" w:cs="仿宋"/>
          <w:kern w:val="0"/>
          <w:sz w:val="30"/>
          <w:szCs w:val="30"/>
        </w:rPr>
      </w:pPr>
      <w:r>
        <w:rPr>
          <w:rFonts w:hint="eastAsia" w:ascii="仿宋_GB2312" w:hAnsi="仿宋_GB2312" w:eastAsia="仿宋_GB2312" w:cs="仿宋_GB2312"/>
          <w:kern w:val="0"/>
          <w:sz w:val="30"/>
          <w:szCs w:val="30"/>
        </w:rPr>
        <w:t>（</w:t>
      </w:r>
      <w:r>
        <w:rPr>
          <w:rFonts w:hint="eastAsia" w:ascii="仿宋" w:hAnsi="仿宋" w:eastAsia="仿宋" w:cs="仿宋"/>
          <w:kern w:val="0"/>
          <w:sz w:val="30"/>
          <w:szCs w:val="30"/>
        </w:rPr>
        <w:t>一）投入情况分析，</w:t>
      </w:r>
    </w:p>
    <w:p>
      <w:pPr>
        <w:adjustRightInd w:val="0"/>
        <w:snapToGrid w:val="0"/>
        <w:spacing w:line="540" w:lineRule="atLeast"/>
        <w:ind w:left="420" w:leftChars="200" w:firstLine="600" w:firstLineChars="200"/>
        <w:rPr>
          <w:rFonts w:ascii="仿宋" w:hAnsi="仿宋" w:eastAsia="仿宋" w:cs="仿宋"/>
          <w:kern w:val="0"/>
          <w:sz w:val="30"/>
          <w:szCs w:val="30"/>
        </w:rPr>
      </w:pPr>
      <w:r>
        <w:rPr>
          <w:rFonts w:hint="eastAsia" w:ascii="仿宋" w:hAnsi="仿宋" w:eastAsia="仿宋" w:cs="仿宋"/>
          <w:kern w:val="0"/>
          <w:sz w:val="30"/>
          <w:szCs w:val="30"/>
        </w:rPr>
        <w:t>按时完成2021年预算编制及公开，预算收入1395.82万元，较上年增加38.27万元，预算支出1395.82万元。全年目标有1：贯彻执行规划建设，基础设施建设，稳定和完善农村基本经营管理全面实施下政府各项决策部署，确保各项工作目标任务圆满完成。2 ：计划完成公务车辆运行费支出预算金额的100%。3：计划完成公务接待支出预算金额的100% 。4：计划完成基本支出预算金额的100%。所有目标均根据往年部门整体绩效及政府日常工作设立。</w:t>
      </w:r>
    </w:p>
    <w:p>
      <w:pPr>
        <w:adjustRightInd w:val="0"/>
        <w:snapToGrid w:val="0"/>
        <w:spacing w:line="540" w:lineRule="atLeast"/>
        <w:ind w:firstLine="600" w:firstLineChars="200"/>
        <w:rPr>
          <w:rFonts w:ascii="仿宋" w:hAnsi="仿宋" w:eastAsia="仿宋" w:cs="仿宋"/>
          <w:kern w:val="0"/>
          <w:sz w:val="30"/>
          <w:szCs w:val="30"/>
        </w:rPr>
      </w:pPr>
      <w:r>
        <w:rPr>
          <w:rFonts w:hint="eastAsia" w:ascii="仿宋" w:hAnsi="仿宋" w:eastAsia="仿宋" w:cs="仿宋"/>
          <w:kern w:val="0"/>
          <w:sz w:val="30"/>
          <w:szCs w:val="30"/>
        </w:rPr>
        <w:t>（二）执行管理情况分析</w:t>
      </w:r>
    </w:p>
    <w:p>
      <w:pPr>
        <w:adjustRightInd w:val="0"/>
        <w:snapToGrid w:val="0"/>
        <w:spacing w:line="540" w:lineRule="atLeast"/>
        <w:ind w:left="420" w:leftChars="200" w:firstLine="600" w:firstLineChars="200"/>
        <w:rPr>
          <w:rFonts w:ascii="仿宋" w:hAnsi="仿宋" w:eastAsia="仿宋" w:cs="仿宋"/>
          <w:kern w:val="0"/>
          <w:sz w:val="30"/>
          <w:szCs w:val="30"/>
        </w:rPr>
      </w:pPr>
      <w:r>
        <w:rPr>
          <w:rFonts w:hint="eastAsia" w:ascii="仿宋" w:hAnsi="仿宋" w:eastAsia="仿宋" w:cs="仿宋"/>
          <w:kern w:val="0"/>
          <w:sz w:val="30"/>
          <w:szCs w:val="30"/>
        </w:rPr>
        <w:t>2021年决算支出为1532.52万元，执行率为</w:t>
      </w:r>
      <w:r>
        <w:rPr>
          <w:rFonts w:hint="eastAsia" w:ascii="仿宋" w:hAnsi="仿宋" w:eastAsia="仿宋" w:cs="仿宋"/>
          <w:kern w:val="0"/>
          <w:sz w:val="30"/>
          <w:szCs w:val="30"/>
          <w:lang w:val="en-US" w:eastAsia="zh-CN"/>
        </w:rPr>
        <w:t>100</w:t>
      </w:r>
      <w:bookmarkStart w:id="0" w:name="_GoBack"/>
      <w:bookmarkEnd w:id="0"/>
      <w:r>
        <w:rPr>
          <w:rFonts w:hint="eastAsia" w:ascii="仿宋" w:hAnsi="仿宋" w:eastAsia="仿宋" w:cs="仿宋"/>
          <w:kern w:val="0"/>
          <w:sz w:val="30"/>
          <w:szCs w:val="30"/>
        </w:rPr>
        <w:t>%。2021年决算数较2020年有所上升，主要在三公经费及商品服务支出类增多。</w:t>
      </w:r>
    </w:p>
    <w:p>
      <w:pPr>
        <w:adjustRightInd w:val="0"/>
        <w:snapToGrid w:val="0"/>
        <w:spacing w:line="540" w:lineRule="atLeast"/>
        <w:ind w:firstLine="600" w:firstLineChars="200"/>
        <w:rPr>
          <w:rFonts w:ascii="仿宋" w:hAnsi="仿宋" w:eastAsia="仿宋" w:cs="仿宋"/>
          <w:sz w:val="30"/>
          <w:szCs w:val="30"/>
        </w:rPr>
      </w:pPr>
      <w:r>
        <w:rPr>
          <w:rFonts w:hint="eastAsia" w:ascii="仿宋" w:hAnsi="仿宋" w:eastAsia="仿宋" w:cs="仿宋"/>
          <w:sz w:val="30"/>
          <w:szCs w:val="30"/>
        </w:rPr>
        <w:t>（三）支出绩效情况分析</w:t>
      </w:r>
    </w:p>
    <w:p>
      <w:pPr>
        <w:adjustRightInd w:val="0"/>
        <w:snapToGrid w:val="0"/>
        <w:spacing w:line="540" w:lineRule="atLeast"/>
        <w:ind w:left="420" w:leftChars="200" w:firstLine="600" w:firstLineChars="200"/>
        <w:rPr>
          <w:rFonts w:ascii="仿宋" w:hAnsi="仿宋" w:eastAsia="仿宋" w:cs="仿宋"/>
          <w:kern w:val="0"/>
          <w:sz w:val="30"/>
          <w:szCs w:val="30"/>
        </w:rPr>
      </w:pPr>
      <w:r>
        <w:rPr>
          <w:rFonts w:hint="eastAsia" w:ascii="仿宋" w:hAnsi="仿宋" w:eastAsia="仿宋" w:cs="仿宋"/>
          <w:kern w:val="0"/>
          <w:sz w:val="30"/>
          <w:szCs w:val="30"/>
        </w:rPr>
        <w:t>2021年基本支出为1425.87万元，项目支出106.65万元贯彻执行规划建设，基础设施建设，稳定和完善农村基本经营管理全面实施下政府各项决策部署，确保各项工作目标任务圆满完成。</w:t>
      </w:r>
    </w:p>
    <w:p>
      <w:pPr>
        <w:adjustRightInd w:val="0"/>
        <w:snapToGrid w:val="0"/>
        <w:spacing w:line="54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四、存在的问题</w:t>
      </w:r>
    </w:p>
    <w:p>
      <w:pPr>
        <w:adjustRightInd w:val="0"/>
        <w:snapToGrid w:val="0"/>
        <w:spacing w:line="540" w:lineRule="atLeast"/>
        <w:ind w:left="420" w:leftChars="200" w:firstLine="600" w:firstLineChars="200"/>
        <w:rPr>
          <w:rFonts w:ascii="仿宋_GB2312" w:hAnsi="仿宋_GB2312" w:eastAsia="仿宋_GB2312" w:cs="仿宋_GB2312"/>
          <w:b/>
          <w:sz w:val="28"/>
          <w:szCs w:val="28"/>
        </w:rPr>
      </w:pPr>
      <w:r>
        <w:rPr>
          <w:rFonts w:hint="eastAsia" w:ascii="仿宋" w:hAnsi="仿宋" w:eastAsia="仿宋" w:cs="仿宋"/>
          <w:kern w:val="0"/>
          <w:sz w:val="30"/>
          <w:szCs w:val="30"/>
        </w:rPr>
        <w:t>存在的问题：1.预算编制工作有待细化。预算编制不够明确和细化，预算编制的合理性需要提高，预算执行力度还要进一步加强；2.公用经费控制有一定难度，基本为刚性支出。</w:t>
      </w:r>
    </w:p>
    <w:p>
      <w:pPr>
        <w:numPr>
          <w:ilvl w:val="0"/>
          <w:numId w:val="2"/>
        </w:numPr>
        <w:adjustRightInd w:val="0"/>
        <w:snapToGrid w:val="0"/>
        <w:spacing w:line="54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整改措施或建议</w:t>
      </w:r>
    </w:p>
    <w:p>
      <w:pPr>
        <w:adjustRightInd w:val="0"/>
        <w:snapToGrid w:val="0"/>
        <w:spacing w:line="540" w:lineRule="atLeast"/>
        <w:ind w:left="420" w:leftChars="200" w:firstLine="600" w:firstLineChars="200"/>
        <w:rPr>
          <w:rFonts w:ascii="仿宋" w:hAnsi="仿宋" w:eastAsia="仿宋" w:cs="仿宋"/>
          <w:kern w:val="0"/>
          <w:sz w:val="30"/>
          <w:szCs w:val="30"/>
        </w:rPr>
      </w:pPr>
      <w:r>
        <w:rPr>
          <w:rFonts w:hint="eastAsia" w:ascii="仿宋" w:hAnsi="仿宋" w:eastAsia="仿宋" w:cs="仿宋"/>
          <w:kern w:val="0"/>
          <w:sz w:val="30"/>
          <w:szCs w:val="30"/>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adjustRightInd w:val="0"/>
        <w:snapToGrid w:val="0"/>
        <w:spacing w:line="540" w:lineRule="atLeast"/>
        <w:ind w:left="420" w:leftChars="200" w:firstLine="600" w:firstLineChars="200"/>
        <w:rPr>
          <w:rFonts w:ascii="仿宋" w:hAnsi="仿宋" w:eastAsia="仿宋" w:cs="仿宋"/>
          <w:kern w:val="0"/>
          <w:sz w:val="30"/>
          <w:szCs w:val="30"/>
        </w:rPr>
      </w:pPr>
      <w:r>
        <w:rPr>
          <w:rFonts w:hint="eastAsia" w:ascii="仿宋" w:hAnsi="仿宋" w:eastAsia="仿宋" w:cs="仿宋"/>
          <w:kern w:val="0"/>
          <w:sz w:val="30"/>
          <w:szCs w:val="30"/>
        </w:rPr>
        <w:t>2. 加强财务管理，严格财务审核。加强单位财务管理，健全单位财务管理制度体系，规范单位财务行为。在费用报账支付时，按照预算规定的费用项目和用途进行资金使用审核、列报支付、财务核算，杜绝超支现象的发生。</w:t>
      </w:r>
    </w:p>
    <w:p>
      <w:pPr>
        <w:adjustRightInd w:val="0"/>
        <w:snapToGrid w:val="0"/>
        <w:spacing w:line="540" w:lineRule="atLeast"/>
        <w:rPr>
          <w:rFonts w:ascii="仿宋_GB2312" w:hAnsi="仿宋_GB2312" w:eastAsia="仿宋_GB2312" w:cs="仿宋_GB2312"/>
          <w:b/>
          <w:sz w:val="28"/>
          <w:szCs w:val="28"/>
        </w:rPr>
      </w:pPr>
    </w:p>
    <w:p>
      <w:pPr>
        <w:adjustRightInd w:val="0"/>
        <w:snapToGrid w:val="0"/>
        <w:spacing w:line="540" w:lineRule="atLeast"/>
        <w:ind w:firstLine="643" w:firstLineChars="200"/>
        <w:rPr>
          <w:rFonts w:eastAsia="仿宋_GB2312"/>
          <w:sz w:val="32"/>
          <w:szCs w:val="32"/>
        </w:rPr>
      </w:pPr>
      <w:r>
        <w:rPr>
          <w:rFonts w:hint="eastAsia" w:ascii="仿宋_GB2312" w:hAnsi="仿宋_GB2312" w:eastAsia="仿宋_GB2312" w:cs="仿宋_GB2312"/>
          <w:b/>
          <w:sz w:val="32"/>
          <w:szCs w:val="32"/>
        </w:rPr>
        <w:t>六、其他需要说明的问题</w:t>
      </w:r>
    </w:p>
    <w:p>
      <w:pPr>
        <w:adjustRightInd w:val="0"/>
        <w:snapToGrid w:val="0"/>
        <w:spacing w:line="540" w:lineRule="atLeast"/>
        <w:ind w:firstLine="900" w:firstLineChars="3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无</w:t>
      </w:r>
    </w:p>
    <w:p>
      <w:pPr>
        <w:adjustRightInd w:val="0"/>
        <w:snapToGrid w:val="0"/>
        <w:spacing w:line="540" w:lineRule="atLeast"/>
        <w:ind w:firstLine="900" w:firstLineChars="300"/>
        <w:rPr>
          <w:rFonts w:hint="eastAsia" w:ascii="仿宋_GB2312" w:hAnsi="仿宋_GB2312" w:eastAsia="仿宋_GB2312" w:cs="仿宋_GB2312"/>
          <w:bCs/>
          <w:sz w:val="30"/>
          <w:szCs w:val="30"/>
        </w:rPr>
      </w:pPr>
    </w:p>
    <w:p>
      <w:pPr>
        <w:adjustRightInd w:val="0"/>
        <w:snapToGrid w:val="0"/>
        <w:spacing w:line="540" w:lineRule="atLeast"/>
        <w:ind w:firstLine="900" w:firstLineChars="300"/>
        <w:rPr>
          <w:rFonts w:hint="eastAsia" w:ascii="仿宋_GB2312" w:hAnsi="仿宋_GB2312" w:eastAsia="仿宋_GB2312" w:cs="仿宋_GB2312"/>
          <w:bCs/>
          <w:sz w:val="30"/>
          <w:szCs w:val="30"/>
        </w:rPr>
      </w:pPr>
    </w:p>
    <w:p>
      <w:pPr>
        <w:adjustRightInd w:val="0"/>
        <w:snapToGrid w:val="0"/>
        <w:spacing w:line="540" w:lineRule="atLeast"/>
        <w:ind w:firstLine="900" w:firstLineChars="300"/>
        <w:rPr>
          <w:rFonts w:hint="eastAsia" w:ascii="仿宋_GB2312" w:hAnsi="仿宋_GB2312" w:eastAsia="仿宋_GB2312" w:cs="仿宋_GB2312"/>
          <w:bCs/>
          <w:sz w:val="30"/>
          <w:szCs w:val="30"/>
        </w:rPr>
      </w:pPr>
    </w:p>
    <w:p>
      <w:pPr>
        <w:adjustRightInd w:val="0"/>
        <w:snapToGrid w:val="0"/>
        <w:spacing w:line="540" w:lineRule="atLeast"/>
        <w:ind w:firstLine="900" w:firstLineChars="300"/>
        <w:rPr>
          <w:rFonts w:hint="eastAsia" w:ascii="仿宋_GB2312" w:hAnsi="仿宋_GB2312" w:eastAsia="仿宋_GB2312" w:cs="仿宋_GB2312"/>
          <w:bCs/>
          <w:sz w:val="30"/>
          <w:szCs w:val="30"/>
        </w:rPr>
      </w:pPr>
    </w:p>
    <w:p>
      <w:pPr>
        <w:adjustRightInd w:val="0"/>
        <w:snapToGrid w:val="0"/>
        <w:spacing w:line="540" w:lineRule="atLeast"/>
        <w:jc w:val="right"/>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安坪镇人民政府</w:t>
      </w:r>
    </w:p>
    <w:p>
      <w:pPr>
        <w:adjustRightInd w:val="0"/>
        <w:snapToGrid w:val="0"/>
        <w:spacing w:line="540" w:lineRule="atLeast"/>
        <w:jc w:val="right"/>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2022年4月15日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FB848"/>
    <w:multiLevelType w:val="singleLevel"/>
    <w:tmpl w:val="8CAFB848"/>
    <w:lvl w:ilvl="0" w:tentative="0">
      <w:start w:val="5"/>
      <w:numFmt w:val="chineseCounting"/>
      <w:suff w:val="nothing"/>
      <w:lvlText w:val="%1、"/>
      <w:lvlJc w:val="left"/>
      <w:rPr>
        <w:rFonts w:hint="eastAsia"/>
      </w:rPr>
    </w:lvl>
  </w:abstractNum>
  <w:abstractNum w:abstractNumId="1">
    <w:nsid w:val="FCFDA7C6"/>
    <w:multiLevelType w:val="singleLevel"/>
    <w:tmpl w:val="FCFDA7C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1A933E6"/>
    <w:rsid w:val="00426433"/>
    <w:rsid w:val="00452FF2"/>
    <w:rsid w:val="004652F8"/>
    <w:rsid w:val="0050428C"/>
    <w:rsid w:val="00725036"/>
    <w:rsid w:val="009B1249"/>
    <w:rsid w:val="00A2143D"/>
    <w:rsid w:val="00B2504C"/>
    <w:rsid w:val="00D25D7A"/>
    <w:rsid w:val="0D8F546F"/>
    <w:rsid w:val="104F5AB9"/>
    <w:rsid w:val="13272725"/>
    <w:rsid w:val="15874EE2"/>
    <w:rsid w:val="229055EC"/>
    <w:rsid w:val="33A144D4"/>
    <w:rsid w:val="4BC86317"/>
    <w:rsid w:val="4D946E30"/>
    <w:rsid w:val="71A933E6"/>
    <w:rsid w:val="78043C65"/>
    <w:rsid w:val="7B4644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2177</Words>
  <Characters>2340</Characters>
  <Lines>16</Lines>
  <Paragraphs>4</Paragraphs>
  <TotalTime>36</TotalTime>
  <ScaleCrop>false</ScaleCrop>
  <LinksUpToDate>false</LinksUpToDate>
  <CharactersWithSpaces>2356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2022-03-31T02:28:00Z</dcterms:created>
  <dc:creator>执子之爪</dc:creator>
  <cp:lastModifiedBy>荣儿</cp:lastModifiedBy>
  <dcterms:modified xsi:type="dcterms:W3CDTF">2022-04-15T06:38:47Z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F01FE2DF1AFD4382A65B2A46AF4F4212</vt:lpwstr>
  </property>
</Properties>
</file>