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atLeast"/>
        <w:jc w:val="left"/>
        <w:rPr>
          <w:rFonts w:ascii="仿宋_GB2312" w:hAnsi="仿宋" w:eastAsia="仿宋_GB2312"/>
          <w:b/>
          <w:kern w:val="0"/>
          <w:sz w:val="32"/>
          <w:szCs w:val="32"/>
        </w:rPr>
      </w:pPr>
      <w:r>
        <w:rPr>
          <w:rFonts w:hint="eastAsia" w:ascii="仿宋_GB2312" w:hAnsi="仿宋" w:eastAsia="仿宋_GB2312"/>
          <w:b/>
          <w:kern w:val="0"/>
          <w:sz w:val="32"/>
          <w:szCs w:val="32"/>
        </w:rPr>
        <w:t>附件1：</w:t>
      </w:r>
    </w:p>
    <w:p>
      <w:pPr>
        <w:adjustRightInd w:val="0"/>
        <w:snapToGrid w:val="0"/>
        <w:spacing w:line="560" w:lineRule="atLeast"/>
        <w:jc w:val="center"/>
        <w:rPr>
          <w:rFonts w:ascii="仿宋_GB2312" w:hAnsi="仿宋" w:eastAsia="仿宋_GB2312"/>
          <w:b/>
          <w:kern w:val="0"/>
          <w:sz w:val="32"/>
          <w:szCs w:val="32"/>
        </w:rPr>
      </w:pPr>
      <w:r>
        <w:rPr>
          <w:rFonts w:hint="eastAsia" w:ascii="仿宋_GB2312" w:hAnsi="仿宋" w:eastAsia="仿宋_GB2312"/>
          <w:b/>
          <w:kern w:val="0"/>
          <w:sz w:val="32"/>
          <w:szCs w:val="32"/>
        </w:rPr>
        <w:t>辰溪县司法局2021年部门整体支出绩效评价报告</w:t>
      </w:r>
    </w:p>
    <w:p>
      <w:pPr>
        <w:adjustRightInd w:val="0"/>
        <w:snapToGrid w:val="0"/>
        <w:spacing w:line="540" w:lineRule="atLeast"/>
        <w:ind w:firstLine="643" w:firstLineChars="200"/>
        <w:rPr>
          <w:rFonts w:hint="eastAsia" w:ascii="仿宋_GB2312" w:hAnsi="仿宋_GB2312" w:eastAsia="仿宋_GB2312" w:cs="仿宋_GB2312"/>
          <w:b/>
          <w:sz w:val="32"/>
          <w:szCs w:val="32"/>
        </w:rPr>
      </w:pPr>
    </w:p>
    <w:p>
      <w:pPr>
        <w:adjustRightInd w:val="0"/>
        <w:snapToGrid w:val="0"/>
        <w:spacing w:line="540" w:lineRule="atLeas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一、部门基本情况</w:t>
      </w:r>
    </w:p>
    <w:p>
      <w:pPr>
        <w:adjustRightInd w:val="0"/>
        <w:snapToGrid w:val="0"/>
        <w:spacing w:line="54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（一）部门职能与机构设置；</w:t>
      </w:r>
    </w:p>
    <w:p>
      <w:pPr>
        <w:widowControl/>
        <w:spacing w:line="600" w:lineRule="exact"/>
        <w:ind w:firstLine="645"/>
        <w:jc w:val="left"/>
        <w:textAlignment w:val="baseline"/>
        <w:rPr>
          <w:rFonts w:ascii="仿宋_GB2312" w:eastAsia="仿宋_GB2312"/>
          <w:sz w:val="32"/>
          <w:szCs w:val="32"/>
        </w:rPr>
      </w:pPr>
      <w:r>
        <w:rPr>
          <w:rFonts w:hint="eastAsia" w:ascii="仿宋_GB2312" w:eastAsia="仿宋_GB2312"/>
          <w:sz w:val="32"/>
          <w:szCs w:val="32"/>
        </w:rPr>
        <w:t>根据县政府“三定”方案，县司法局内设机构</w:t>
      </w:r>
      <w:r>
        <w:rPr>
          <w:rFonts w:hint="eastAsia" w:ascii="仿宋_GB2312" w:hAnsi="Helvetica" w:eastAsia="仿宋_GB2312" w:cs="仿宋_GB2312"/>
          <w:color w:val="3D3D3D"/>
          <w:kern w:val="0"/>
          <w:sz w:val="32"/>
          <w:szCs w:val="32"/>
          <w:shd w:val="clear" w:color="auto" w:fill="FFFFFF"/>
        </w:rPr>
        <w:t>：办公室、政策法规股、法治调研督察和法治宣传股、行政复议与应诉股、行政执法协调监督股、社区矫正管理股、人民参与和促进法治股、公共法律服务管理股、律师工作股、计财装备股、政工室、23个派出机构（各司法所）。</w:t>
      </w:r>
    </w:p>
    <w:p>
      <w:pPr>
        <w:adjustRightInd w:val="0"/>
        <w:snapToGrid w:val="0"/>
        <w:spacing w:line="54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（二）人员情况；</w:t>
      </w:r>
    </w:p>
    <w:p>
      <w:pPr>
        <w:adjustRightInd w:val="0"/>
        <w:snapToGrid w:val="0"/>
        <w:spacing w:line="540" w:lineRule="atLeast"/>
        <w:ind w:firstLine="643" w:firstLineChars="200"/>
        <w:rPr>
          <w:rFonts w:ascii="仿宋_GB2312" w:hAnsi="仿宋_GB2312" w:eastAsia="仿宋_GB2312" w:cs="仿宋_GB2312"/>
          <w:b/>
          <w:kern w:val="0"/>
          <w:sz w:val="32"/>
          <w:szCs w:val="32"/>
        </w:rPr>
      </w:pPr>
      <w:r>
        <w:rPr>
          <w:rFonts w:hint="eastAsia" w:ascii="仿宋_GB2312" w:eastAsia="仿宋_GB2312"/>
          <w:b/>
          <w:sz w:val="32"/>
          <w:szCs w:val="32"/>
        </w:rPr>
        <w:t>本单位共有编制数89个。2021年12月末，单位实有人数121人.</w:t>
      </w:r>
    </w:p>
    <w:p>
      <w:pPr>
        <w:adjustRightInd w:val="0"/>
        <w:snapToGrid w:val="0"/>
        <w:spacing w:line="540" w:lineRule="atLeas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（三）部</w:t>
      </w:r>
      <w:r>
        <w:rPr>
          <w:rFonts w:hint="eastAsia" w:ascii="仿宋_GB2312" w:hAnsi="仿宋_GB2312" w:eastAsia="仿宋_GB2312" w:cs="仿宋_GB2312"/>
          <w:kern w:val="0"/>
          <w:sz w:val="32"/>
          <w:szCs w:val="32"/>
        </w:rPr>
        <w:t>门年度总体工作任务和重点工作任务；</w:t>
      </w:r>
    </w:p>
    <w:p>
      <w:pPr>
        <w:widowControl/>
        <w:shd w:val="clear" w:color="auto" w:fill="FFFFFF"/>
        <w:spacing w:before="312" w:beforeAutospacing="1" w:after="225" w:line="600" w:lineRule="exact"/>
        <w:ind w:firstLine="640" w:firstLineChars="200"/>
        <w:jc w:val="left"/>
        <w:textAlignment w:val="baseline"/>
        <w:rPr>
          <w:rFonts w:ascii="仿宋_GB2312" w:hAnsi="Helvetica" w:eastAsia="仿宋_GB2312" w:cs="宋体"/>
          <w:color w:val="3D3D3D"/>
          <w:kern w:val="0"/>
          <w:sz w:val="32"/>
          <w:szCs w:val="32"/>
        </w:rPr>
      </w:pPr>
      <w:r>
        <w:rPr>
          <w:rFonts w:hint="eastAsia" w:ascii="仿宋_GB2312" w:hAnsi="Calibri" w:eastAsia="仿宋_GB2312" w:cs="Calibri"/>
          <w:color w:val="3D3D3D"/>
          <w:sz w:val="32"/>
          <w:szCs w:val="32"/>
        </w:rPr>
        <w:t>1</w:t>
      </w:r>
      <w:r>
        <w:rPr>
          <w:rFonts w:hint="eastAsia" w:ascii="仿宋_GB2312" w:hAnsi="Calibri" w:eastAsia="仿宋_GB2312"/>
          <w:color w:val="3D3D3D"/>
          <w:sz w:val="32"/>
          <w:szCs w:val="32"/>
        </w:rPr>
        <w:t>、贯彻执行国家、省、市有关司法行政工作的法律法规，拟订司法行政工作发展规划和年度计划并组织实施。</w:t>
      </w:r>
    </w:p>
    <w:p>
      <w:pPr>
        <w:widowControl/>
        <w:shd w:val="clear" w:color="auto" w:fill="FFFFFF"/>
        <w:spacing w:before="312" w:beforeAutospacing="1" w:after="225" w:line="600" w:lineRule="exact"/>
        <w:ind w:firstLine="640" w:firstLineChars="200"/>
        <w:jc w:val="left"/>
        <w:textAlignment w:val="baseline"/>
        <w:rPr>
          <w:rFonts w:ascii="仿宋_GB2312" w:hAnsi="Helvetica" w:eastAsia="仿宋_GB2312" w:cs="宋体"/>
          <w:color w:val="3D3D3D"/>
          <w:kern w:val="0"/>
          <w:sz w:val="32"/>
          <w:szCs w:val="32"/>
        </w:rPr>
      </w:pPr>
      <w:r>
        <w:rPr>
          <w:rFonts w:hint="eastAsia" w:ascii="仿宋_GB2312" w:hAnsi="Calibri" w:eastAsia="仿宋_GB2312" w:cs="Calibri"/>
          <w:color w:val="3D3D3D"/>
          <w:sz w:val="32"/>
          <w:szCs w:val="32"/>
        </w:rPr>
        <w:t>2</w:t>
      </w:r>
      <w:r>
        <w:rPr>
          <w:rFonts w:hint="eastAsia" w:ascii="仿宋_GB2312" w:hAnsi="Calibri" w:eastAsia="仿宋_GB2312"/>
          <w:color w:val="3D3D3D"/>
          <w:sz w:val="32"/>
          <w:szCs w:val="32"/>
        </w:rPr>
        <w:t>、拟订、指导法制宣传教育和依法治理工作计划并组织实施；参与社会治安综合治理工作。</w:t>
      </w:r>
    </w:p>
    <w:p>
      <w:pPr>
        <w:widowControl/>
        <w:shd w:val="clear" w:color="auto" w:fill="FFFFFF"/>
        <w:spacing w:before="312" w:beforeAutospacing="1" w:after="225" w:line="600" w:lineRule="exact"/>
        <w:ind w:firstLine="640" w:firstLineChars="200"/>
        <w:jc w:val="left"/>
        <w:textAlignment w:val="baseline"/>
        <w:rPr>
          <w:rFonts w:ascii="仿宋_GB2312" w:hAnsi="Helvetica" w:eastAsia="仿宋_GB2312" w:cs="宋体"/>
          <w:color w:val="3D3D3D"/>
          <w:kern w:val="0"/>
          <w:sz w:val="32"/>
          <w:szCs w:val="32"/>
        </w:rPr>
      </w:pPr>
      <w:r>
        <w:rPr>
          <w:rFonts w:hint="eastAsia" w:ascii="仿宋_GB2312" w:hAnsi="Calibri" w:eastAsia="仿宋_GB2312" w:cs="Calibri"/>
          <w:color w:val="3D3D3D"/>
          <w:sz w:val="32"/>
          <w:szCs w:val="32"/>
        </w:rPr>
        <w:t>3</w:t>
      </w:r>
      <w:r>
        <w:rPr>
          <w:rFonts w:hint="eastAsia" w:ascii="仿宋_GB2312" w:hAnsi="Calibri" w:eastAsia="仿宋_GB2312"/>
          <w:color w:val="3D3D3D"/>
          <w:sz w:val="32"/>
          <w:szCs w:val="32"/>
        </w:rPr>
        <w:t>、指导、管理、监督律师、公证、法律援助工作并承担相应责任。</w:t>
      </w:r>
    </w:p>
    <w:p>
      <w:pPr>
        <w:widowControl/>
        <w:shd w:val="clear" w:color="auto" w:fill="FFFFFF"/>
        <w:spacing w:before="312" w:beforeAutospacing="1" w:after="225" w:line="600" w:lineRule="exact"/>
        <w:ind w:firstLine="640" w:firstLineChars="200"/>
        <w:jc w:val="left"/>
        <w:textAlignment w:val="baseline"/>
        <w:rPr>
          <w:rFonts w:ascii="仿宋_GB2312" w:hAnsi="Helvetica" w:eastAsia="仿宋_GB2312" w:cs="宋体"/>
          <w:color w:val="3D3D3D"/>
          <w:kern w:val="0"/>
          <w:sz w:val="32"/>
          <w:szCs w:val="32"/>
        </w:rPr>
      </w:pPr>
      <w:r>
        <w:rPr>
          <w:rFonts w:hint="eastAsia" w:ascii="仿宋_GB2312" w:hAnsi="Calibri" w:eastAsia="仿宋_GB2312" w:cs="Calibri"/>
          <w:color w:val="3D3D3D"/>
          <w:sz w:val="32"/>
          <w:szCs w:val="32"/>
        </w:rPr>
        <w:t>4</w:t>
      </w:r>
      <w:r>
        <w:rPr>
          <w:rFonts w:hint="eastAsia" w:ascii="仿宋_GB2312" w:hAnsi="Calibri" w:eastAsia="仿宋_GB2312"/>
          <w:color w:val="3D3D3D"/>
          <w:sz w:val="32"/>
          <w:szCs w:val="32"/>
        </w:rPr>
        <w:t>、指导、监督乡镇司法所建设和人民调解、社区矫正工作；会同有关部门负责对刑满释放、期满解教人员的安置帮教工作。</w:t>
      </w:r>
    </w:p>
    <w:p>
      <w:pPr>
        <w:widowControl/>
        <w:shd w:val="clear" w:color="auto" w:fill="FFFFFF"/>
        <w:spacing w:before="312" w:beforeAutospacing="1" w:after="225" w:line="600" w:lineRule="exact"/>
        <w:ind w:firstLine="640" w:firstLineChars="200"/>
        <w:jc w:val="left"/>
        <w:textAlignment w:val="baseline"/>
        <w:rPr>
          <w:rFonts w:ascii="仿宋_GB2312" w:hAnsi="Helvetica" w:eastAsia="仿宋_GB2312" w:cs="宋体"/>
          <w:color w:val="3D3D3D"/>
          <w:kern w:val="0"/>
          <w:sz w:val="32"/>
          <w:szCs w:val="32"/>
        </w:rPr>
      </w:pPr>
      <w:r>
        <w:rPr>
          <w:rFonts w:hint="eastAsia" w:ascii="仿宋_GB2312" w:hAnsi="Calibri" w:eastAsia="仿宋_GB2312" w:cs="Calibri"/>
          <w:color w:val="3D3D3D"/>
          <w:sz w:val="32"/>
          <w:szCs w:val="32"/>
        </w:rPr>
        <w:t>5</w:t>
      </w:r>
      <w:r>
        <w:rPr>
          <w:rFonts w:hint="eastAsia" w:ascii="仿宋_GB2312" w:hAnsi="Calibri" w:eastAsia="仿宋_GB2312"/>
          <w:color w:val="3D3D3D"/>
          <w:sz w:val="32"/>
          <w:szCs w:val="32"/>
        </w:rPr>
        <w:t>、指导、监督法律服务工作。</w:t>
      </w:r>
    </w:p>
    <w:p>
      <w:pPr>
        <w:widowControl/>
        <w:shd w:val="clear" w:color="auto" w:fill="FFFFFF"/>
        <w:spacing w:before="312" w:beforeAutospacing="1" w:after="225" w:line="600" w:lineRule="exact"/>
        <w:ind w:firstLine="640" w:firstLineChars="200"/>
        <w:jc w:val="left"/>
        <w:textAlignment w:val="baseline"/>
        <w:rPr>
          <w:rFonts w:ascii="仿宋_GB2312" w:hAnsi="Helvetica" w:eastAsia="仿宋_GB2312" w:cs="宋体"/>
          <w:color w:val="3D3D3D"/>
          <w:kern w:val="0"/>
          <w:sz w:val="32"/>
          <w:szCs w:val="32"/>
        </w:rPr>
      </w:pPr>
      <w:r>
        <w:rPr>
          <w:rFonts w:hint="eastAsia" w:ascii="仿宋_GB2312" w:hAnsi="Calibri" w:eastAsia="仿宋_GB2312" w:cs="Calibri"/>
          <w:color w:val="3D3D3D"/>
          <w:sz w:val="32"/>
          <w:szCs w:val="32"/>
        </w:rPr>
        <w:t>6</w:t>
      </w:r>
      <w:r>
        <w:rPr>
          <w:rFonts w:hint="eastAsia" w:ascii="仿宋_GB2312" w:hAnsi="Calibri" w:eastAsia="仿宋_GB2312"/>
          <w:color w:val="3D3D3D"/>
          <w:sz w:val="32"/>
          <w:szCs w:val="32"/>
        </w:rPr>
        <w:t>、指导、管理司法行政系统的计划财务及服装、车辆等警用物资装备。</w:t>
      </w:r>
    </w:p>
    <w:p>
      <w:pPr>
        <w:widowControl/>
        <w:shd w:val="clear" w:color="auto" w:fill="FFFFFF"/>
        <w:spacing w:before="312" w:beforeAutospacing="1" w:after="225" w:line="600" w:lineRule="exact"/>
        <w:ind w:firstLine="640" w:firstLineChars="200"/>
        <w:jc w:val="left"/>
        <w:textAlignment w:val="baseline"/>
        <w:rPr>
          <w:rFonts w:ascii="仿宋_GB2312" w:hAnsi="Helvetica" w:eastAsia="仿宋_GB2312" w:cs="宋体"/>
          <w:color w:val="3D3D3D"/>
          <w:kern w:val="0"/>
          <w:sz w:val="32"/>
          <w:szCs w:val="32"/>
        </w:rPr>
      </w:pPr>
      <w:r>
        <w:rPr>
          <w:rFonts w:hint="eastAsia" w:ascii="仿宋_GB2312" w:hAnsi="Calibri" w:eastAsia="仿宋_GB2312" w:cs="Calibri"/>
          <w:color w:val="3D3D3D"/>
          <w:sz w:val="32"/>
          <w:szCs w:val="32"/>
        </w:rPr>
        <w:t>7</w:t>
      </w:r>
      <w:r>
        <w:rPr>
          <w:rFonts w:hint="eastAsia" w:ascii="仿宋_GB2312" w:hAnsi="Calibri" w:eastAsia="仿宋_GB2312"/>
          <w:color w:val="3D3D3D"/>
          <w:sz w:val="32"/>
          <w:szCs w:val="32"/>
        </w:rPr>
        <w:t>、指导司法行政系统队伍建设和思想政治工作；负责司法行政系统的宣传教育培训、考核奖励、警务管理和警务督察工作。</w:t>
      </w:r>
    </w:p>
    <w:p>
      <w:pPr>
        <w:widowControl/>
        <w:shd w:val="clear" w:color="auto" w:fill="FFFFFF"/>
        <w:spacing w:before="312" w:beforeAutospacing="1" w:line="600" w:lineRule="exact"/>
        <w:ind w:firstLine="640" w:firstLineChars="200"/>
        <w:jc w:val="left"/>
        <w:textAlignment w:val="baseline"/>
        <w:rPr>
          <w:rFonts w:ascii="仿宋_GB2312" w:hAnsi="Helvetica" w:eastAsia="仿宋_GB2312" w:cs="宋体"/>
          <w:color w:val="3D3D3D"/>
          <w:kern w:val="0"/>
          <w:sz w:val="32"/>
          <w:szCs w:val="32"/>
        </w:rPr>
      </w:pPr>
      <w:r>
        <w:rPr>
          <w:rFonts w:hint="eastAsia" w:ascii="仿宋_GB2312" w:hAnsi="Calibri" w:eastAsia="仿宋_GB2312" w:cs="Calibri"/>
          <w:color w:val="3D3D3D"/>
          <w:sz w:val="32"/>
          <w:szCs w:val="32"/>
        </w:rPr>
        <w:t>8</w:t>
      </w:r>
      <w:r>
        <w:rPr>
          <w:rFonts w:hint="eastAsia" w:ascii="仿宋_GB2312" w:hAnsi="Calibri" w:eastAsia="仿宋_GB2312"/>
          <w:color w:val="3D3D3D"/>
          <w:sz w:val="32"/>
          <w:szCs w:val="32"/>
        </w:rPr>
        <w:t>、承办县人民政府交办的其他工作事项。</w:t>
      </w:r>
    </w:p>
    <w:p>
      <w:pPr>
        <w:adjustRightInd w:val="0"/>
        <w:snapToGrid w:val="0"/>
        <w:spacing w:line="540" w:lineRule="atLeast"/>
        <w:ind w:firstLine="640" w:firstLineChars="200"/>
        <w:rPr>
          <w:rFonts w:ascii="仿宋_GB2312" w:hAnsi="仿宋_GB2312" w:eastAsia="仿宋_GB2312" w:cs="仿宋_GB2312"/>
          <w:kern w:val="0"/>
          <w:sz w:val="32"/>
          <w:szCs w:val="32"/>
        </w:rPr>
      </w:pPr>
    </w:p>
    <w:p>
      <w:pPr>
        <w:adjustRightInd w:val="0"/>
        <w:snapToGrid w:val="0"/>
        <w:spacing w:line="54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（四）部门年度整体收支情况；</w:t>
      </w:r>
    </w:p>
    <w:p>
      <w:pPr>
        <w:widowControl/>
        <w:spacing w:beforeAutospacing="1" w:afterAutospacing="1" w:line="480" w:lineRule="auto"/>
        <w:ind w:firstLine="480" w:firstLineChars="150"/>
        <w:jc w:val="left"/>
        <w:rPr>
          <w:rFonts w:ascii="仿宋_GB2312" w:hAnsi="宋体" w:eastAsia="仿宋_GB2312" w:cs="宋体"/>
          <w:color w:val="333333"/>
          <w:kern w:val="0"/>
          <w:sz w:val="32"/>
          <w:szCs w:val="32"/>
        </w:rPr>
      </w:pPr>
      <w:r>
        <w:rPr>
          <w:rFonts w:hint="eastAsia" w:ascii="仿宋_GB2312" w:hAnsi="仿宋" w:eastAsia="仿宋_GB2312" w:cs="宋体"/>
          <w:bCs/>
          <w:color w:val="333333"/>
          <w:kern w:val="0"/>
          <w:sz w:val="32"/>
          <w:szCs w:val="32"/>
        </w:rPr>
        <w:t>部门整体预算收入2406.98万元，其中公共财政预算拨款2406.98万元。</w:t>
      </w:r>
    </w:p>
    <w:p>
      <w:pPr>
        <w:widowControl/>
        <w:spacing w:before="100" w:beforeAutospacing="1" w:afterAutospacing="1" w:line="480" w:lineRule="auto"/>
        <w:ind w:left="210" w:leftChars="100"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部门预算支出2406.98万元，1、基本支出预算1996.98万元，其中：人员支出1655.36万元（工资福利支出1552.21万元，一般商品和服务支出341.62万元，对个人和家庭的补助103.15万元），2、项目支出410万元。</w:t>
      </w:r>
    </w:p>
    <w:p>
      <w:pPr>
        <w:widowControl/>
        <w:spacing w:before="100" w:beforeAutospacing="1" w:afterAutospacing="1" w:line="480" w:lineRule="auto"/>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三公经费指标为30万元，其中：公务用车运行维护费12万元；公务接待费18万元；会议费5万元。</w:t>
      </w:r>
    </w:p>
    <w:p>
      <w:pPr>
        <w:widowControl/>
        <w:spacing w:beforeAutospacing="1" w:afterAutospacing="1" w:line="480" w:lineRule="auto"/>
        <w:ind w:firstLine="643" w:firstLineChars="200"/>
        <w:jc w:val="left"/>
        <w:rPr>
          <w:rFonts w:ascii="仿宋_GB2312" w:hAnsi="宋体" w:eastAsia="仿宋_GB2312" w:cs="宋体"/>
          <w:color w:val="333333"/>
          <w:kern w:val="0"/>
          <w:sz w:val="32"/>
          <w:szCs w:val="32"/>
        </w:rPr>
      </w:pPr>
      <w:r>
        <w:rPr>
          <w:rFonts w:hint="eastAsia" w:ascii="仿宋_GB2312" w:hAnsi="仿宋" w:eastAsia="仿宋_GB2312" w:cs="宋体"/>
          <w:b/>
          <w:bCs/>
          <w:color w:val="333333"/>
          <w:kern w:val="0"/>
          <w:sz w:val="32"/>
          <w:szCs w:val="32"/>
        </w:rPr>
        <w:t>二、部门整体支出管理及使用情况</w:t>
      </w:r>
    </w:p>
    <w:p>
      <w:pPr>
        <w:widowControl/>
        <w:spacing w:beforeAutospacing="1" w:afterAutospacing="1" w:line="480" w:lineRule="auto"/>
        <w:ind w:firstLine="480"/>
        <w:jc w:val="left"/>
        <w:rPr>
          <w:rFonts w:ascii="仿宋_GB2312" w:hAnsi="宋体" w:eastAsia="仿宋_GB2312" w:cs="宋体"/>
          <w:color w:val="333333"/>
          <w:kern w:val="0"/>
          <w:sz w:val="32"/>
          <w:szCs w:val="32"/>
        </w:rPr>
      </w:pPr>
      <w:r>
        <w:rPr>
          <w:rFonts w:hint="eastAsia" w:ascii="仿宋_GB2312" w:hAnsi="仿宋" w:eastAsia="仿宋_GB2312" w:cs="宋体"/>
          <w:b/>
          <w:bCs/>
          <w:color w:val="333333"/>
          <w:kern w:val="0"/>
          <w:sz w:val="32"/>
          <w:szCs w:val="32"/>
        </w:rPr>
        <w:t>（一）基本支出</w:t>
      </w:r>
    </w:p>
    <w:p>
      <w:pPr>
        <w:widowControl/>
        <w:spacing w:before="100" w:beforeAutospacing="1" w:after="100" w:afterAutospacing="1" w:line="480" w:lineRule="auto"/>
        <w:ind w:firstLine="640" w:firstLineChars="200"/>
        <w:jc w:val="left"/>
        <w:rPr>
          <w:rFonts w:ascii="仿宋_GB2312" w:hAnsi="宋体" w:eastAsia="仿宋_GB2312" w:cs="宋体"/>
          <w:color w:val="333333"/>
          <w:kern w:val="0"/>
          <w:sz w:val="32"/>
          <w:szCs w:val="32"/>
        </w:rPr>
      </w:pPr>
      <w:r>
        <w:rPr>
          <w:rFonts w:hint="eastAsia" w:ascii="仿宋_GB2312" w:hAnsi="仿宋" w:eastAsia="仿宋_GB2312" w:cs="宋体"/>
          <w:color w:val="333333"/>
          <w:kern w:val="0"/>
          <w:sz w:val="32"/>
          <w:szCs w:val="32"/>
        </w:rPr>
        <w:t>基本支出1870.27万元，其中工资福利支出1324.17万元，一般商品服务支出556.55万元，对个人和家庭的补助53.06万元，主要含办公费、水电费、差旅费、会议费、办公设备购置费等机关运行经费，是为保障单位正常运转、完成日常工作任务而发生的各项支出。</w:t>
      </w:r>
    </w:p>
    <w:p>
      <w:pPr>
        <w:widowControl/>
        <w:spacing w:before="100" w:beforeAutospacing="1" w:after="100" w:afterAutospacing="1" w:line="480" w:lineRule="auto"/>
        <w:ind w:firstLine="640" w:firstLineChars="200"/>
        <w:jc w:val="left"/>
        <w:rPr>
          <w:rFonts w:ascii="仿宋_GB2312" w:hAnsi="宋体" w:eastAsia="仿宋_GB2312" w:cs="宋体"/>
          <w:color w:val="333333"/>
          <w:kern w:val="0"/>
          <w:sz w:val="32"/>
          <w:szCs w:val="32"/>
        </w:rPr>
      </w:pPr>
      <w:r>
        <w:rPr>
          <w:rFonts w:hint="eastAsia" w:ascii="仿宋_GB2312" w:hAnsi="仿宋" w:eastAsia="仿宋_GB2312" w:cs="宋体"/>
          <w:color w:val="333333"/>
          <w:kern w:val="0"/>
          <w:sz w:val="32"/>
          <w:szCs w:val="32"/>
        </w:rPr>
        <w:t>2021年三公经费为10.16万元，其中：因公出国（境）费0.00万元，公务用车购置及运行费8.5万元（其中：购置费0.00万元、运行费0.00万元），公务接待费1.7万元。相比2020年减少   万元。</w:t>
      </w:r>
    </w:p>
    <w:p>
      <w:pPr>
        <w:widowControl/>
        <w:spacing w:beforeAutospacing="1" w:afterAutospacing="1" w:line="480" w:lineRule="auto"/>
        <w:ind w:firstLine="480"/>
        <w:jc w:val="left"/>
        <w:rPr>
          <w:rFonts w:ascii="仿宋_GB2312" w:hAnsi="宋体" w:eastAsia="仿宋_GB2312" w:cs="宋体"/>
          <w:color w:val="333333"/>
          <w:kern w:val="0"/>
          <w:sz w:val="32"/>
          <w:szCs w:val="32"/>
        </w:rPr>
      </w:pPr>
      <w:r>
        <w:rPr>
          <w:rFonts w:hint="eastAsia" w:ascii="仿宋_GB2312" w:hAnsi="仿宋" w:eastAsia="仿宋_GB2312" w:cs="宋体"/>
          <w:b/>
          <w:bCs/>
          <w:color w:val="333333"/>
          <w:kern w:val="0"/>
          <w:sz w:val="32"/>
          <w:szCs w:val="32"/>
        </w:rPr>
        <w:t>（二）专项资金基本情况</w:t>
      </w:r>
    </w:p>
    <w:p>
      <w:pPr>
        <w:widowControl/>
        <w:spacing w:before="100" w:beforeAutospacing="1" w:after="100" w:afterAutospacing="1" w:line="480" w:lineRule="auto"/>
        <w:ind w:firstLine="640" w:firstLineChars="200"/>
        <w:jc w:val="left"/>
        <w:rPr>
          <w:rFonts w:ascii="仿宋_GB2312" w:hAnsi="宋体" w:eastAsia="仿宋_GB2312" w:cs="宋体"/>
          <w:color w:val="333333"/>
          <w:kern w:val="0"/>
          <w:sz w:val="32"/>
          <w:szCs w:val="32"/>
        </w:rPr>
      </w:pPr>
      <w:r>
        <w:rPr>
          <w:rFonts w:hint="eastAsia" w:ascii="仿宋_GB2312" w:hAnsi="仿宋" w:eastAsia="仿宋_GB2312" w:cs="宋体"/>
          <w:color w:val="333333"/>
          <w:kern w:val="0"/>
          <w:sz w:val="32"/>
          <w:szCs w:val="32"/>
        </w:rPr>
        <w:t>专项支出 394万元，是单位为完成工作任务发展目标而发生的支出。其中： 上级追加指标拨款资金144万元， 县级配套专项资金 250万元，在资金使用管理方面我单位严格按照有关规定国库集中支付管理、行政事业单位会计制度规定和财政下达资金的使用范围管理和使用项目经费，做到专款专用，确保资金支出的真实性、安全性、合理性。</w:t>
      </w:r>
    </w:p>
    <w:p>
      <w:pPr>
        <w:widowControl/>
        <w:spacing w:beforeAutospacing="1" w:afterAutospacing="1" w:line="480" w:lineRule="auto"/>
        <w:ind w:firstLine="643" w:firstLineChars="200"/>
        <w:jc w:val="left"/>
        <w:rPr>
          <w:rFonts w:ascii="仿宋_GB2312" w:hAnsi="宋体" w:eastAsia="仿宋_GB2312" w:cs="宋体"/>
          <w:color w:val="333333"/>
          <w:kern w:val="0"/>
          <w:sz w:val="32"/>
          <w:szCs w:val="32"/>
        </w:rPr>
      </w:pPr>
      <w:r>
        <w:rPr>
          <w:rFonts w:hint="eastAsia" w:ascii="仿宋_GB2312" w:hAnsi="仿宋" w:eastAsia="仿宋_GB2312" w:cs="宋体"/>
          <w:b/>
          <w:bCs/>
          <w:color w:val="333333"/>
          <w:kern w:val="0"/>
          <w:sz w:val="32"/>
          <w:szCs w:val="32"/>
        </w:rPr>
        <w:t>（三）部门整体支出规模、使用方向和主要内容、涉及范围等。</w:t>
      </w:r>
    </w:p>
    <w:p>
      <w:pPr>
        <w:widowControl/>
        <w:spacing w:before="100" w:beforeAutospacing="1" w:after="100" w:afterAutospacing="1" w:line="480" w:lineRule="auto"/>
        <w:ind w:firstLine="320" w:firstLineChars="100"/>
        <w:jc w:val="left"/>
        <w:rPr>
          <w:rFonts w:ascii="仿宋_GB2312" w:hAnsi="宋体" w:eastAsia="仿宋_GB2312" w:cs="宋体"/>
          <w:color w:val="333333"/>
          <w:kern w:val="0"/>
          <w:sz w:val="32"/>
          <w:szCs w:val="32"/>
        </w:rPr>
      </w:pPr>
      <w:r>
        <w:rPr>
          <w:rFonts w:hint="eastAsia" w:ascii="仿宋_GB2312" w:hAnsi="仿宋" w:eastAsia="仿宋_GB2312" w:cs="宋体"/>
          <w:color w:val="333333"/>
          <w:kern w:val="0"/>
          <w:sz w:val="32"/>
          <w:szCs w:val="32"/>
        </w:rPr>
        <w:t>2021年本单位年末决算数为2318.14万元，其中基本支出   1870.27万元（人员经费 1324.17万元，公用经费 546.1万元），专项支出130.08万元。</w:t>
      </w:r>
    </w:p>
    <w:p>
      <w:pPr>
        <w:widowControl/>
        <w:spacing w:beforeAutospacing="1" w:afterAutospacing="1" w:line="480" w:lineRule="auto"/>
        <w:ind w:firstLine="643" w:firstLineChars="200"/>
        <w:jc w:val="left"/>
        <w:rPr>
          <w:rFonts w:ascii="仿宋_GB2312" w:hAnsi="宋体" w:eastAsia="仿宋_GB2312" w:cs="宋体"/>
          <w:color w:val="333333"/>
          <w:kern w:val="0"/>
          <w:sz w:val="32"/>
          <w:szCs w:val="32"/>
        </w:rPr>
      </w:pPr>
      <w:r>
        <w:rPr>
          <w:rFonts w:hint="eastAsia" w:ascii="仿宋_GB2312" w:hAnsi="仿宋" w:eastAsia="仿宋_GB2312" w:cs="宋体"/>
          <w:b/>
          <w:bCs/>
          <w:color w:val="333333"/>
          <w:kern w:val="0"/>
          <w:sz w:val="32"/>
          <w:szCs w:val="32"/>
        </w:rPr>
        <w:t>（四）专项资金管理情况（包括管理制度、办法的制订及执行情况）分析。</w:t>
      </w:r>
    </w:p>
    <w:p>
      <w:pPr>
        <w:widowControl/>
        <w:autoSpaceDE w:val="0"/>
        <w:spacing w:line="580" w:lineRule="exact"/>
        <w:ind w:firstLine="640" w:firstLineChars="200"/>
        <w:rPr>
          <w:rFonts w:ascii="仿宋_GB2312" w:hAnsi="宋体" w:eastAsia="仿宋_GB2312" w:cs="宋体"/>
          <w:color w:val="333333"/>
          <w:kern w:val="0"/>
          <w:sz w:val="32"/>
          <w:szCs w:val="32"/>
        </w:rPr>
      </w:pPr>
      <w:r>
        <w:rPr>
          <w:rFonts w:hint="eastAsia" w:ascii="仿宋_GB2312" w:hAnsi="仿宋" w:eastAsia="仿宋_GB2312" w:cs="宋体"/>
          <w:color w:val="333333"/>
          <w:kern w:val="0"/>
          <w:sz w:val="32"/>
          <w:szCs w:val="32"/>
        </w:rPr>
        <w:t>1、严格遵守《会计法》和财经纪律，合理安排预算，建立和完善财务制度。</w:t>
      </w:r>
    </w:p>
    <w:p>
      <w:pPr>
        <w:widowControl/>
        <w:autoSpaceDE w:val="0"/>
        <w:spacing w:line="580" w:lineRule="exact"/>
        <w:ind w:firstLine="640" w:firstLineChars="200"/>
        <w:rPr>
          <w:rFonts w:ascii="仿宋_GB2312" w:hAnsi="宋体" w:eastAsia="仿宋_GB2312" w:cs="宋体"/>
          <w:color w:val="333333"/>
          <w:kern w:val="0"/>
          <w:sz w:val="32"/>
          <w:szCs w:val="32"/>
        </w:rPr>
      </w:pPr>
      <w:r>
        <w:rPr>
          <w:rFonts w:hint="eastAsia" w:ascii="仿宋_GB2312" w:hAnsi="仿宋" w:eastAsia="仿宋_GB2312" w:cs="宋体"/>
          <w:color w:val="333333"/>
          <w:kern w:val="0"/>
          <w:sz w:val="32"/>
          <w:szCs w:val="32"/>
        </w:rPr>
        <w:t>2、严格执行报销程序，把好票据审核关，及时付款。</w:t>
      </w:r>
    </w:p>
    <w:p>
      <w:pPr>
        <w:widowControl/>
        <w:autoSpaceDE w:val="0"/>
        <w:spacing w:line="580" w:lineRule="exact"/>
        <w:ind w:firstLine="640" w:firstLineChars="200"/>
        <w:rPr>
          <w:rFonts w:ascii="仿宋_GB2312" w:hAnsi="宋体" w:eastAsia="仿宋_GB2312" w:cs="宋体"/>
          <w:color w:val="333333"/>
          <w:kern w:val="0"/>
          <w:sz w:val="32"/>
          <w:szCs w:val="32"/>
        </w:rPr>
      </w:pPr>
      <w:r>
        <w:rPr>
          <w:rFonts w:hint="eastAsia" w:ascii="仿宋_GB2312" w:hAnsi="仿宋" w:eastAsia="仿宋_GB2312" w:cs="宋体"/>
          <w:color w:val="333333"/>
          <w:kern w:val="0"/>
          <w:sz w:val="32"/>
          <w:szCs w:val="32"/>
        </w:rPr>
        <w:t>3、增强责任意识，进一步构筑防腐拒变防线。</w:t>
      </w:r>
    </w:p>
    <w:p>
      <w:pPr>
        <w:widowControl/>
        <w:autoSpaceDE w:val="0"/>
        <w:spacing w:line="580" w:lineRule="exact"/>
        <w:ind w:firstLine="640" w:firstLineChars="200"/>
        <w:rPr>
          <w:rFonts w:ascii="仿宋_GB2312" w:hAnsi="宋体" w:eastAsia="仿宋_GB2312" w:cs="宋体"/>
          <w:color w:val="333333"/>
          <w:kern w:val="0"/>
          <w:sz w:val="32"/>
          <w:szCs w:val="32"/>
        </w:rPr>
      </w:pPr>
      <w:r>
        <w:rPr>
          <w:rFonts w:hint="eastAsia" w:ascii="仿宋_GB2312" w:hAnsi="仿宋" w:eastAsia="仿宋_GB2312" w:cs="宋体"/>
          <w:color w:val="333333"/>
          <w:kern w:val="0"/>
          <w:sz w:val="32"/>
          <w:szCs w:val="32"/>
        </w:rPr>
        <w:t>4、强化效能监察，严格责任追究。</w:t>
      </w:r>
    </w:p>
    <w:p>
      <w:pPr>
        <w:widowControl/>
        <w:autoSpaceDE w:val="0"/>
        <w:spacing w:line="580" w:lineRule="exact"/>
        <w:ind w:firstLine="640" w:firstLineChars="200"/>
        <w:rPr>
          <w:rFonts w:ascii="仿宋_GB2312" w:hAnsi="宋体" w:eastAsia="仿宋_GB2312" w:cs="宋体"/>
          <w:color w:val="333333"/>
          <w:kern w:val="0"/>
          <w:sz w:val="32"/>
          <w:szCs w:val="32"/>
        </w:rPr>
      </w:pPr>
      <w:r>
        <w:rPr>
          <w:rFonts w:hint="eastAsia" w:ascii="仿宋_GB2312" w:hAnsi="仿宋" w:eastAsia="仿宋_GB2312" w:cs="宋体"/>
          <w:color w:val="333333"/>
          <w:kern w:val="0"/>
          <w:sz w:val="32"/>
          <w:szCs w:val="32"/>
        </w:rPr>
        <w:t>5、各项开支严格执行中央《党政机关国内公务接待管理规定》及省委、省政府，市委、市政府相关规定，原则上凭公函接待，未报销香烟、高档酒水、私人会所、高消费餐饮娱乐场所等开支。</w:t>
      </w:r>
    </w:p>
    <w:p>
      <w:pPr>
        <w:widowControl/>
        <w:autoSpaceDE w:val="0"/>
        <w:spacing w:line="580" w:lineRule="exact"/>
        <w:ind w:firstLine="640" w:firstLineChars="200"/>
        <w:rPr>
          <w:rFonts w:ascii="仿宋_GB2312" w:hAnsi="宋体" w:eastAsia="仿宋_GB2312" w:cs="宋体"/>
          <w:color w:val="333333"/>
          <w:kern w:val="0"/>
          <w:sz w:val="32"/>
          <w:szCs w:val="32"/>
        </w:rPr>
      </w:pPr>
      <w:r>
        <w:rPr>
          <w:rFonts w:hint="eastAsia" w:ascii="仿宋_GB2312" w:hAnsi="仿宋" w:eastAsia="仿宋_GB2312" w:cs="宋体"/>
          <w:color w:val="333333"/>
          <w:kern w:val="0"/>
          <w:sz w:val="32"/>
          <w:szCs w:val="32"/>
        </w:rPr>
        <w:t>6、严格按照有关规定国库集中支付管理、行政单位会计制度规定和财政下达资金的使用范围管理和使用项目经费，做到专款专用，确保资金支出的真实性、安全性、合理性。</w:t>
      </w:r>
    </w:p>
    <w:p>
      <w:pPr>
        <w:adjustRightInd w:val="0"/>
        <w:snapToGrid w:val="0"/>
        <w:spacing w:line="540" w:lineRule="atLeas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（五）部门年度整体工作目标任务完成情况，包括：财政资金支出达到的效果情况、社会满意度认可情况等。</w:t>
      </w:r>
    </w:p>
    <w:p>
      <w:pPr>
        <w:spacing w:line="580" w:lineRule="exact"/>
        <w:ind w:firstLine="640" w:firstLineChars="200"/>
        <w:textAlignment w:val="baseline"/>
        <w:rPr>
          <w:rFonts w:ascii="仿宋_GB2312" w:hAnsi="楷体" w:eastAsia="仿宋_GB2312" w:cs="楷体"/>
          <w:b/>
          <w:bCs/>
          <w:sz w:val="32"/>
          <w:szCs w:val="32"/>
        </w:rPr>
      </w:pPr>
      <w:r>
        <w:rPr>
          <w:rFonts w:hint="eastAsia" w:ascii="仿宋_GB2312" w:hAnsi="微软雅黑" w:eastAsia="仿宋_GB2312" w:cs="宋体"/>
          <w:color w:val="444444"/>
          <w:kern w:val="0"/>
          <w:sz w:val="32"/>
          <w:szCs w:val="32"/>
        </w:rPr>
        <w:t>中央和省级政法转移支付资金由市、县（区）司法局按照财政部、司法部下发的《司法行政机关财务管理办法》确定的开支范围,根据司法行政发展规划和目标，按照统筹兼顾、突出重点、优先基层的原则组织实施，2021年总体绩效目标完成较好，基本按照绩效目标计划实施，保障推进了司法行政重点任务、重点工作，取得了良好的社会效益和经济效益，同时切实解决了基层经费不足的实际困难，在维护社会稳定中起到了切实、有效的保障作用。</w:t>
      </w:r>
    </w:p>
    <w:p>
      <w:pPr>
        <w:adjustRightInd w:val="0"/>
        <w:snapToGrid w:val="0"/>
        <w:spacing w:line="540" w:lineRule="atLeast"/>
        <w:ind w:firstLine="803" w:firstLineChars="250"/>
        <w:rPr>
          <w:rFonts w:ascii="仿宋_GB2312" w:hAnsi="仿宋_GB2312" w:eastAsia="仿宋_GB2312" w:cs="仿宋_GB2312"/>
          <w:bCs/>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、部门整体评价工作开展</w:t>
      </w:r>
    </w:p>
    <w:p>
      <w:pPr>
        <w:adjustRightInd w:val="0"/>
        <w:snapToGrid w:val="0"/>
        <w:spacing w:line="54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（一）绩效评价实施过程情况，</w:t>
      </w:r>
      <w:r>
        <w:rPr>
          <w:rFonts w:hint="eastAsia" w:ascii="仿宋_GB2312" w:hAnsi="仿宋_GB2312" w:eastAsia="仿宋_GB2312" w:cs="仿宋_GB2312"/>
          <w:bCs/>
          <w:color w:val="0C0C0C" w:themeColor="text1" w:themeTint="F2"/>
          <w:kern w:val="0"/>
          <w:sz w:val="32"/>
          <w:szCs w:val="32"/>
        </w:rPr>
        <w:t>包括评价方法、工作程序等；</w:t>
      </w:r>
      <w:r>
        <w:rPr>
          <w:rFonts w:hint="eastAsia" w:ascii="仿宋_GB2312" w:hAnsi="Helvetica" w:eastAsia="仿宋_GB2312"/>
          <w:color w:val="0C0C0C" w:themeColor="text1" w:themeTint="F2"/>
          <w:sz w:val="32"/>
          <w:szCs w:val="32"/>
          <w:shd w:val="clear" w:color="auto" w:fill="FFFFFF"/>
        </w:rPr>
        <w:t>组织依照预先确定的标准和一定的评价程序，运用科学的评价方法、按照评价的内</w:t>
      </w:r>
      <w:r>
        <w:rPr>
          <w:rFonts w:hint="eastAsia" w:ascii="仿宋_GB2312" w:hAnsi="Helvetica" w:eastAsia="仿宋_GB2312"/>
          <w:color w:val="333333"/>
          <w:sz w:val="32"/>
          <w:szCs w:val="32"/>
          <w:shd w:val="clear" w:color="auto" w:fill="FFFFFF"/>
        </w:rPr>
        <w:t>容和标准对评价对象的工作能力、工作业绩进行定期和不定期的考核和评价。</w:t>
      </w:r>
    </w:p>
    <w:p>
      <w:pPr>
        <w:adjustRightInd w:val="0"/>
        <w:snapToGrid w:val="0"/>
        <w:spacing w:line="540" w:lineRule="atLeas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kern w:val="0"/>
          <w:sz w:val="32"/>
          <w:szCs w:val="32"/>
        </w:rPr>
        <w:t>（二）绩效评价整体结果概况，</w:t>
      </w:r>
      <w:r>
        <w:rPr>
          <w:rFonts w:hint="eastAsia" w:ascii="仿宋_GB2312" w:hAnsi="仿宋_GB2312" w:eastAsia="仿宋_GB2312" w:cs="仿宋_GB2312"/>
          <w:bCs/>
          <w:kern w:val="0"/>
          <w:sz w:val="32"/>
          <w:szCs w:val="32"/>
        </w:rPr>
        <w:t>如：得分情况（或档次）、预算编制和执行情况、节能降耗情况、三公经费控制情况，项目支出管理规范和绩效情况等。</w:t>
      </w:r>
    </w:p>
    <w:p>
      <w:pPr>
        <w:widowControl/>
        <w:shd w:val="clear" w:color="auto" w:fill="FFFFFF"/>
        <w:spacing w:before="150" w:line="540" w:lineRule="atLeast"/>
        <w:ind w:firstLine="480" w:firstLineChars="15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部门总目标：细化预算编制工作，认真做好预算编制；加强财务管理，严格财务审核；抓好“三公经费”控制管理,确保综合改革及综治维稳等各项业务工作任务圆满完成。</w:t>
      </w:r>
      <w:r>
        <w:rPr>
          <w:rFonts w:hint="eastAsia" w:ascii="Helvetica" w:hAnsi="Helvetica" w:eastAsia="仿宋_GB2312" w:cs="宋体"/>
          <w:color w:val="333333"/>
          <w:kern w:val="0"/>
          <w:sz w:val="32"/>
          <w:szCs w:val="32"/>
        </w:rPr>
        <w:t> </w:t>
      </w:r>
    </w:p>
    <w:p>
      <w:pPr>
        <w:widowControl/>
        <w:shd w:val="clear" w:color="auto" w:fill="FFFFFF"/>
        <w:spacing w:before="150" w:line="540" w:lineRule="atLeast"/>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预决算公开：2021年，按照上级的要求，在政府网站上进行了预决算公开。</w:t>
      </w:r>
      <w:r>
        <w:rPr>
          <w:rFonts w:hint="eastAsia" w:ascii="Helvetica" w:hAnsi="Helvetica" w:eastAsia="仿宋_GB2312" w:cs="宋体"/>
          <w:color w:val="333333"/>
          <w:kern w:val="0"/>
          <w:sz w:val="32"/>
          <w:szCs w:val="32"/>
        </w:rPr>
        <w:t> </w:t>
      </w:r>
    </w:p>
    <w:p>
      <w:pPr>
        <w:widowControl/>
        <w:shd w:val="clear" w:color="auto" w:fill="FFFFFF"/>
        <w:spacing w:before="150" w:line="540" w:lineRule="atLeast"/>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资产管理：我们进一步加强资产的管理，明确了具体责任人，完善了固定资产档案，严格报批、销审等手续，做好资产登记工作。</w:t>
      </w:r>
      <w:r>
        <w:rPr>
          <w:rFonts w:hint="eastAsia" w:ascii="Helvetica" w:hAnsi="Helvetica" w:eastAsia="仿宋_GB2312" w:cs="宋体"/>
          <w:color w:val="333333"/>
          <w:kern w:val="0"/>
          <w:sz w:val="32"/>
          <w:szCs w:val="32"/>
        </w:rPr>
        <w:t> </w:t>
      </w:r>
    </w:p>
    <w:p>
      <w:pPr>
        <w:widowControl/>
        <w:shd w:val="clear" w:color="auto" w:fill="FFFFFF"/>
        <w:spacing w:before="150" w:line="540" w:lineRule="atLeast"/>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三公经费控制情况：我局贯彻落实上级有关精神，严格控制“三公经费”支出，取得了良好效果。</w:t>
      </w:r>
    </w:p>
    <w:p>
      <w:pPr>
        <w:widowControl/>
        <w:shd w:val="clear" w:color="auto" w:fill="FFFFFF"/>
        <w:spacing w:before="150" w:line="540" w:lineRule="atLeast"/>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内部管理制度建设：健全单位财务管理制度，加强对资金、物资的合理使用和管理；制定内部监督检查制度，强化内部制度执行的监督管理。</w:t>
      </w:r>
    </w:p>
    <w:p>
      <w:pPr>
        <w:widowControl/>
        <w:shd w:val="clear" w:color="auto" w:fill="FFFFFF"/>
        <w:spacing w:before="150" w:line="540" w:lineRule="atLeast"/>
        <w:ind w:firstLine="640" w:firstLineChars="200"/>
        <w:jc w:val="left"/>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项目绩效总目标完成情况：2021年，我局各项业务工作任务圆满完成。</w:t>
      </w:r>
      <w:r>
        <w:rPr>
          <w:rFonts w:hint="eastAsia" w:ascii="Helvetica" w:hAnsi="Helvetica" w:eastAsia="仿宋_GB2312" w:cs="宋体"/>
          <w:color w:val="333333"/>
          <w:kern w:val="0"/>
          <w:sz w:val="32"/>
          <w:szCs w:val="32"/>
        </w:rPr>
        <w:t> </w:t>
      </w:r>
      <w:r>
        <w:rPr>
          <w:rFonts w:hint="eastAsia" w:ascii="仿宋_GB2312" w:hAnsi="Helvetica" w:eastAsia="仿宋_GB2312" w:cs="宋体"/>
          <w:color w:val="333333"/>
          <w:kern w:val="0"/>
          <w:sz w:val="32"/>
          <w:szCs w:val="32"/>
        </w:rPr>
        <w:t>整体绩效自评90分以上，为优秀等次。</w:t>
      </w:r>
    </w:p>
    <w:p>
      <w:pPr>
        <w:adjustRightInd w:val="0"/>
        <w:snapToGrid w:val="0"/>
        <w:spacing w:line="540" w:lineRule="atLeas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eastAsia="zh-CN"/>
        </w:rPr>
        <w:t>四</w:t>
      </w:r>
      <w:r>
        <w:rPr>
          <w:rFonts w:hint="eastAsia" w:ascii="仿宋_GB2312" w:hAnsi="仿宋_GB2312" w:eastAsia="仿宋_GB2312" w:cs="仿宋_GB2312"/>
          <w:b/>
          <w:kern w:val="0"/>
          <w:sz w:val="32"/>
          <w:szCs w:val="32"/>
        </w:rPr>
        <w:t>、部门整体支出绩效评价分析</w:t>
      </w:r>
    </w:p>
    <w:p>
      <w:pPr>
        <w:adjustRightInd w:val="0"/>
        <w:snapToGrid w:val="0"/>
        <w:spacing w:line="54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（一）投入情况分析，包括预算编制、目标设定分析等；</w:t>
      </w:r>
    </w:p>
    <w:p>
      <w:pPr>
        <w:adjustRightInd w:val="0"/>
        <w:snapToGrid w:val="0"/>
        <w:spacing w:line="540" w:lineRule="atLeast"/>
        <w:ind w:firstLine="640" w:firstLineChars="200"/>
        <w:rPr>
          <w:rFonts w:ascii="仿宋_GB2312" w:hAnsi="仿宋_GB2312" w:eastAsia="仿宋_GB2312" w:cs="仿宋_GB2312"/>
          <w:kern w:val="0"/>
          <w:sz w:val="32"/>
          <w:szCs w:val="32"/>
        </w:rPr>
      </w:pPr>
      <w:r>
        <w:rPr>
          <w:rFonts w:hint="eastAsia" w:ascii="仿宋_GB2312" w:eastAsia="仿宋_GB2312"/>
          <w:color w:val="000000"/>
          <w:sz w:val="32"/>
          <w:szCs w:val="32"/>
        </w:rPr>
        <w:t>总预算收入2406.98万元，已执行2318.14万元，执行率 96.3%。其中上级追加指标拨款144万元，已执行144万元，执行率100%；其他资金 2262.98万元，已执行2174.14万元，执行率96%。</w:t>
      </w:r>
    </w:p>
    <w:p>
      <w:pPr>
        <w:adjustRightInd w:val="0"/>
        <w:snapToGrid w:val="0"/>
        <w:spacing w:line="54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（二）执行管理情况分析。</w:t>
      </w:r>
    </w:p>
    <w:p>
      <w:pPr>
        <w:adjustRightInd w:val="0"/>
        <w:snapToGrid w:val="0"/>
        <w:spacing w:line="540" w:lineRule="atLeast"/>
        <w:ind w:firstLine="640" w:firstLineChars="200"/>
        <w:rPr>
          <w:rFonts w:ascii="仿宋_GB2312" w:hAnsi="仿宋_GB2312" w:eastAsia="仿宋_GB2312" w:cs="仿宋_GB2312"/>
          <w:kern w:val="0"/>
          <w:sz w:val="32"/>
          <w:szCs w:val="32"/>
        </w:rPr>
      </w:pPr>
      <w:r>
        <w:rPr>
          <w:rFonts w:hint="eastAsia" w:ascii="仿宋_GB2312" w:eastAsia="仿宋_GB2312"/>
          <w:color w:val="000000"/>
          <w:sz w:val="32"/>
          <w:szCs w:val="32"/>
        </w:rPr>
        <w:t>项目资金的使用严格按照</w:t>
      </w:r>
      <w:r>
        <w:rPr>
          <w:rFonts w:hint="eastAsia" w:ascii="仿宋_GB2312" w:hAnsi="微软雅黑" w:eastAsia="仿宋_GB2312" w:cs="宋体"/>
          <w:color w:val="444444"/>
          <w:kern w:val="0"/>
          <w:sz w:val="32"/>
          <w:szCs w:val="32"/>
        </w:rPr>
        <w:t>按照财政部、司法部下发的《司法行政机关财务管理办法》确定的开支范围</w:t>
      </w:r>
      <w:r>
        <w:rPr>
          <w:rFonts w:hint="eastAsia" w:ascii="仿宋_GB2312" w:eastAsia="仿宋_GB2312"/>
          <w:color w:val="000000"/>
          <w:sz w:val="32"/>
          <w:szCs w:val="32"/>
        </w:rPr>
        <w:t>执行，做到专款专用。</w:t>
      </w:r>
    </w:p>
    <w:p>
      <w:pPr>
        <w:adjustRightInd w:val="0"/>
        <w:snapToGrid w:val="0"/>
        <w:spacing w:line="5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（三）支出绩效情况分析，包括基本支出和项目支出的运行效果情况等。</w:t>
      </w:r>
    </w:p>
    <w:p>
      <w:pPr>
        <w:adjustRightInd w:val="0"/>
        <w:snapToGrid w:val="0"/>
        <w:spacing w:line="540" w:lineRule="atLeast"/>
        <w:ind w:firstLine="640" w:firstLineChars="200"/>
        <w:rPr>
          <w:rFonts w:ascii="仿宋_GB2312" w:hAnsi="仿宋_GB2312" w:eastAsia="仿宋_GB2312" w:cs="仿宋_GB2312"/>
          <w:b/>
          <w:sz w:val="32"/>
          <w:szCs w:val="32"/>
        </w:rPr>
      </w:pPr>
      <w:r>
        <w:rPr>
          <w:rFonts w:hint="eastAsia" w:ascii="仿宋_GB2312" w:hAnsi="Arial" w:eastAsia="仿宋_GB2312" w:cs="Arial"/>
          <w:color w:val="333333"/>
          <w:sz w:val="32"/>
          <w:szCs w:val="32"/>
        </w:rPr>
        <w:t>根据局年初工作规划和重点性工作， 围绕县委县政府的要求较好的完成了年度工作目标。通过加强预算收支管理，不断建立健全内部管理制度，梳理内部管理流程，部门整体支出管理情况得到提升。支出总额控制在预算总额以内，除专项预算的追加和政策性工资绩效预算的追加外，本年部门预算未进行预算相关事项的调整； “三公”经费总体控制较好， 未超本年预算和上年决算。 预算管理方面，制度执行总体较为有效，仍需进一步强化；资金使用管理需进一步加强。资产管理方面，建立了资产管理制度，定期进行了盘点和资产清理，总体执行较好。</w:t>
      </w:r>
    </w:p>
    <w:p>
      <w:pPr>
        <w:adjustRightInd w:val="0"/>
        <w:snapToGrid w:val="0"/>
        <w:spacing w:line="540" w:lineRule="atLeas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五</w:t>
      </w:r>
      <w:r>
        <w:rPr>
          <w:rFonts w:hint="eastAsia" w:ascii="仿宋_GB2312" w:hAnsi="仿宋_GB2312" w:eastAsia="仿宋_GB2312" w:cs="仿宋_GB2312"/>
          <w:b/>
          <w:sz w:val="32"/>
          <w:szCs w:val="32"/>
        </w:rPr>
        <w:t>、存在的问题</w:t>
      </w:r>
    </w:p>
    <w:p>
      <w:pPr>
        <w:widowControl/>
        <w:shd w:val="clear" w:color="auto" w:fill="FFFFFF"/>
        <w:spacing w:line="600" w:lineRule="exact"/>
        <w:ind w:firstLine="640" w:firstLineChars="200"/>
        <w:jc w:val="left"/>
        <w:textAlignment w:val="baseline"/>
        <w:rPr>
          <w:rFonts w:ascii="仿宋_GB2312" w:hAnsi="仿宋" w:eastAsia="仿宋_GB2312" w:cs="仿宋"/>
          <w:sz w:val="32"/>
          <w:szCs w:val="32"/>
        </w:rPr>
      </w:pPr>
      <w:r>
        <w:rPr>
          <w:rFonts w:hint="eastAsia" w:ascii="仿宋_GB2312" w:hAnsi="仿宋" w:eastAsia="仿宋_GB2312" w:cs="仿宋"/>
          <w:sz w:val="32"/>
          <w:szCs w:val="32"/>
        </w:rPr>
        <w:t>通过上述对我局整体支出绩效情况的分析，我们认识到虽然达到了预期的绩效目标，但仍然存在一些问题和不足：</w:t>
      </w:r>
    </w:p>
    <w:p>
      <w:pPr>
        <w:widowControl/>
        <w:shd w:val="clear" w:color="auto" w:fill="FFFFFF"/>
        <w:spacing w:line="600" w:lineRule="exact"/>
        <w:ind w:firstLine="640" w:firstLineChars="200"/>
        <w:jc w:val="left"/>
        <w:textAlignment w:val="baseline"/>
        <w:rPr>
          <w:rFonts w:ascii="仿宋_GB2312" w:hAnsi="仿宋" w:eastAsia="仿宋_GB2312" w:cs="仿宋"/>
          <w:sz w:val="32"/>
          <w:szCs w:val="32"/>
        </w:rPr>
      </w:pPr>
      <w:r>
        <w:rPr>
          <w:rFonts w:hint="eastAsia" w:ascii="仿宋_GB2312" w:hAnsi="仿宋" w:eastAsia="仿宋_GB2312" w:cs="仿宋"/>
          <w:sz w:val="32"/>
          <w:szCs w:val="32"/>
        </w:rPr>
        <w:t>（一）预算执行率和编制精准度有待提高      </w:t>
      </w:r>
    </w:p>
    <w:p>
      <w:pPr>
        <w:widowControl/>
        <w:shd w:val="clear" w:color="auto" w:fill="FFFFFF"/>
        <w:spacing w:line="600" w:lineRule="exact"/>
        <w:ind w:firstLine="640" w:firstLineChars="200"/>
        <w:jc w:val="left"/>
        <w:textAlignment w:val="baseline"/>
        <w:rPr>
          <w:rFonts w:ascii="仿宋_GB2312" w:eastAsia="仿宋_GB2312"/>
          <w:sz w:val="32"/>
          <w:szCs w:val="32"/>
        </w:rPr>
      </w:pPr>
      <w:r>
        <w:rPr>
          <w:rFonts w:hint="eastAsia" w:ascii="仿宋_GB2312" w:hAnsi="仿宋" w:eastAsia="仿宋_GB2312" w:cs="仿宋"/>
          <w:sz w:val="32"/>
          <w:szCs w:val="32"/>
        </w:rPr>
        <w:t>年初预算的编制较为精细，按照费用支出的使用范围和内容，进行了基本支出、项目支出的严格区分，并要求严格按照预算的最末级明细进行预算支出管理，专款专用。受预算批复较晚和部分专项项目未及时确定的影响，导致各部门职能开展受制约，加之部分项目属跨年度建设，对于资金的安排和预算编制，难以按照年初预算编制要求进行预算分解，编制明细预算。</w:t>
      </w:r>
    </w:p>
    <w:p>
      <w:pPr>
        <w:widowControl/>
        <w:shd w:val="clear" w:color="auto" w:fill="FFFFFF"/>
        <w:spacing w:line="600" w:lineRule="exact"/>
        <w:ind w:firstLine="640" w:firstLineChars="200"/>
        <w:jc w:val="left"/>
        <w:textAlignment w:val="baseline"/>
        <w:rPr>
          <w:rFonts w:ascii="仿宋_GB2312" w:eastAsia="仿宋_GB2312"/>
          <w:sz w:val="32"/>
          <w:szCs w:val="32"/>
        </w:rPr>
      </w:pPr>
      <w:r>
        <w:rPr>
          <w:rFonts w:hint="eastAsia" w:ascii="仿宋_GB2312" w:hAnsi="仿宋" w:eastAsia="仿宋_GB2312" w:cs="仿宋"/>
          <w:sz w:val="32"/>
          <w:szCs w:val="32"/>
        </w:rPr>
        <w:t>（二）公用经费不足。综合我局近几年的预算批复及决算情况来看，公用经费不足且缺口较大。</w:t>
      </w:r>
    </w:p>
    <w:p>
      <w:pPr>
        <w:adjustRightInd w:val="0"/>
        <w:snapToGrid w:val="0"/>
        <w:spacing w:line="540" w:lineRule="atLeast"/>
        <w:ind w:firstLine="643" w:firstLineChars="200"/>
        <w:rPr>
          <w:rFonts w:ascii="仿宋_GB2312" w:hAnsi="仿宋_GB2312" w:eastAsia="仿宋_GB2312" w:cs="仿宋_GB2312"/>
          <w:b/>
          <w:sz w:val="32"/>
          <w:szCs w:val="32"/>
        </w:rPr>
      </w:pPr>
    </w:p>
    <w:p>
      <w:pPr>
        <w:adjustRightInd w:val="0"/>
        <w:snapToGrid w:val="0"/>
        <w:spacing w:line="540" w:lineRule="atLeas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、整改措施或建议</w:t>
      </w:r>
    </w:p>
    <w:p>
      <w:pPr>
        <w:widowControl/>
        <w:spacing w:line="600" w:lineRule="exact"/>
        <w:ind w:firstLine="645"/>
        <w:jc w:val="left"/>
        <w:textAlignment w:val="baseline"/>
        <w:rPr>
          <w:rFonts w:ascii="仿宋_GB2312" w:eastAsia="仿宋_GB2312"/>
          <w:sz w:val="32"/>
          <w:szCs w:val="32"/>
        </w:rPr>
      </w:pPr>
      <w:r>
        <w:rPr>
          <w:rFonts w:hint="eastAsia" w:ascii="仿宋_GB2312" w:eastAsia="仿宋_GB2312"/>
          <w:sz w:val="32"/>
          <w:szCs w:val="32"/>
        </w:rPr>
        <w:t>（一）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widowControl/>
        <w:spacing w:line="600" w:lineRule="exact"/>
        <w:ind w:firstLine="645"/>
        <w:jc w:val="left"/>
        <w:textAlignment w:val="baseline"/>
        <w:rPr>
          <w:rFonts w:ascii="仿宋_GB2312" w:eastAsia="仿宋_GB2312"/>
          <w:sz w:val="32"/>
          <w:szCs w:val="32"/>
        </w:rPr>
      </w:pPr>
      <w:r>
        <w:rPr>
          <w:rFonts w:hint="eastAsia" w:ascii="仿宋_GB2312" w:eastAsia="仿宋_GB2312"/>
          <w:sz w:val="32"/>
          <w:szCs w:val="32"/>
        </w:rPr>
        <w:t>（二）加强财务管理，严格财务审核。加强单位财务管理，健全单位财务管理制度体系，规范单位财务行为。在费用报账支付时，按照预算规定的费用项目和用途进行资金使用审核、列报支付、财务核算，杜绝超支现象的发生。</w:t>
      </w:r>
    </w:p>
    <w:p>
      <w:pPr>
        <w:widowControl/>
        <w:spacing w:line="600" w:lineRule="exact"/>
        <w:ind w:firstLine="645"/>
        <w:jc w:val="left"/>
        <w:textAlignment w:val="baseline"/>
        <w:rPr>
          <w:rFonts w:ascii="仿宋_GB2312" w:eastAsia="仿宋_GB2312"/>
          <w:sz w:val="32"/>
          <w:szCs w:val="32"/>
        </w:rPr>
      </w:pPr>
      <w:r>
        <w:rPr>
          <w:rFonts w:hint="eastAsia" w:ascii="仿宋_GB2312" w:eastAsia="仿宋_GB2312"/>
          <w:sz w:val="32"/>
          <w:szCs w:val="32"/>
        </w:rPr>
        <w:t>（三）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adjustRightInd w:val="0"/>
        <w:snapToGrid w:val="0"/>
        <w:spacing w:line="540" w:lineRule="atLeas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七</w:t>
      </w:r>
      <w:bookmarkStart w:id="0" w:name="_GoBack"/>
      <w:bookmarkEnd w:id="0"/>
      <w:r>
        <w:rPr>
          <w:rFonts w:hint="eastAsia" w:ascii="仿宋_GB2312" w:hAnsi="仿宋_GB2312" w:eastAsia="仿宋_GB2312" w:cs="仿宋_GB2312"/>
          <w:b/>
          <w:sz w:val="32"/>
          <w:szCs w:val="32"/>
        </w:rPr>
        <w:t>、其他需要说明的问题</w:t>
      </w:r>
    </w:p>
    <w:p>
      <w:pPr>
        <w:adjustRightInd w:val="0"/>
        <w:snapToGrid w:val="0"/>
        <w:spacing w:line="540" w:lineRule="atLeast"/>
        <w:ind w:firstLine="803" w:firstLineChars="250"/>
        <w:rPr>
          <w:rFonts w:ascii="仿宋_GB2312" w:hAnsi="仿宋_GB2312" w:eastAsia="仿宋_GB2312" w:cs="仿宋_GB2312"/>
          <w:b/>
          <w:sz w:val="32"/>
          <w:szCs w:val="32"/>
        </w:rPr>
      </w:pPr>
      <w:r>
        <w:rPr>
          <w:rFonts w:hint="eastAsia" w:ascii="仿宋_GB2312" w:hAnsi="仿宋_GB2312" w:eastAsia="仿宋_GB2312" w:cs="仿宋_GB2312"/>
          <w:b/>
          <w:sz w:val="32"/>
          <w:szCs w:val="32"/>
        </w:rPr>
        <w:t>无</w:t>
      </w:r>
    </w:p>
    <w:p>
      <w:pPr>
        <w:adjustRightInd w:val="0"/>
        <w:snapToGrid w:val="0"/>
        <w:spacing w:line="540" w:lineRule="atLeast"/>
        <w:ind w:firstLine="640" w:firstLineChars="200"/>
        <w:rPr>
          <w:rFonts w:ascii="仿宋_GB2312" w:eastAsia="仿宋_GB2312"/>
          <w:sz w:val="32"/>
          <w:szCs w:val="32"/>
        </w:rPr>
      </w:pPr>
    </w:p>
    <w:p>
      <w:pPr>
        <w:widowControl/>
        <w:spacing w:line="400" w:lineRule="exact"/>
        <w:jc w:val="left"/>
        <w:rPr>
          <w:rFonts w:ascii="仿宋_GB2312" w:hAnsi="仿宋" w:eastAsia="仿宋_GB2312" w:cs="仿宋_GB2312"/>
          <w:kern w:val="0"/>
          <w:sz w:val="32"/>
          <w:szCs w:val="32"/>
        </w:rPr>
      </w:pPr>
    </w:p>
    <w:p>
      <w:pPr>
        <w:widowControl/>
        <w:spacing w:line="400" w:lineRule="exact"/>
        <w:jc w:val="left"/>
        <w:rPr>
          <w:rFonts w:ascii="仿宋_GB2312" w:hAnsi="仿宋" w:eastAsia="仿宋_GB2312" w:cs="仿宋_GB2312"/>
          <w:kern w:val="0"/>
          <w:sz w:val="32"/>
          <w:szCs w:val="32"/>
        </w:rPr>
      </w:pPr>
    </w:p>
    <w:p>
      <w:pPr>
        <w:widowControl/>
        <w:spacing w:line="400" w:lineRule="exact"/>
        <w:jc w:val="left"/>
        <w:rPr>
          <w:rFonts w:ascii="仿宋_GB2312" w:hAnsi="仿宋" w:eastAsia="仿宋_GB2312" w:cs="仿宋_GB2312"/>
          <w:kern w:val="0"/>
          <w:sz w:val="32"/>
          <w:szCs w:val="32"/>
        </w:rPr>
      </w:pPr>
    </w:p>
    <w:p>
      <w:pPr>
        <w:widowControl/>
        <w:spacing w:line="400" w:lineRule="exact"/>
        <w:jc w:val="left"/>
        <w:rPr>
          <w:rFonts w:ascii="仿宋_GB2312" w:hAnsi="仿宋" w:eastAsia="仿宋_GB2312" w:cs="仿宋_GB2312"/>
          <w:kern w:val="0"/>
          <w:sz w:val="32"/>
          <w:szCs w:val="32"/>
        </w:rPr>
      </w:pPr>
    </w:p>
    <w:p>
      <w:pPr>
        <w:widowControl/>
        <w:spacing w:line="400" w:lineRule="exact"/>
        <w:jc w:val="left"/>
        <w:rPr>
          <w:rFonts w:ascii="仿宋_GB2312" w:hAnsi="仿宋" w:eastAsia="仿宋_GB2312" w:cs="仿宋_GB2312"/>
          <w:kern w:val="0"/>
          <w:sz w:val="32"/>
          <w:szCs w:val="32"/>
        </w:rPr>
      </w:pPr>
    </w:p>
    <w:p>
      <w:pPr>
        <w:widowControl/>
        <w:spacing w:line="400" w:lineRule="exact"/>
        <w:jc w:val="left"/>
        <w:rPr>
          <w:rFonts w:ascii="仿宋_GB2312" w:hAnsi="仿宋" w:eastAsia="仿宋_GB2312" w:cs="仿宋_GB2312"/>
          <w:kern w:val="0"/>
          <w:sz w:val="32"/>
          <w:szCs w:val="32"/>
        </w:rPr>
      </w:pPr>
    </w:p>
    <w:p>
      <w:pPr>
        <w:widowControl/>
        <w:spacing w:line="400" w:lineRule="exact"/>
        <w:jc w:val="left"/>
        <w:rPr>
          <w:rFonts w:ascii="仿宋_GB2312" w:hAnsi="仿宋" w:eastAsia="仿宋_GB2312" w:cs="仿宋_GB2312"/>
          <w:kern w:val="0"/>
          <w:sz w:val="32"/>
          <w:szCs w:val="32"/>
        </w:rPr>
      </w:pPr>
    </w:p>
    <w:p>
      <w:pPr>
        <w:widowControl/>
        <w:spacing w:line="400" w:lineRule="exact"/>
        <w:jc w:val="left"/>
        <w:rPr>
          <w:rFonts w:ascii="仿宋_GB2312" w:hAnsi="仿宋" w:eastAsia="仿宋_GB2312" w:cs="仿宋_GB2312"/>
          <w:kern w:val="0"/>
          <w:sz w:val="32"/>
          <w:szCs w:val="32"/>
        </w:rPr>
      </w:pPr>
    </w:p>
    <w:p>
      <w:pPr>
        <w:widowControl/>
        <w:spacing w:line="400" w:lineRule="exact"/>
        <w:jc w:val="left"/>
        <w:rPr>
          <w:rFonts w:ascii="仿宋_GB2312" w:hAnsi="仿宋" w:eastAsia="仿宋_GB2312" w:cs="仿宋_GB2312"/>
          <w:kern w:val="0"/>
          <w:sz w:val="32"/>
          <w:szCs w:val="32"/>
        </w:rPr>
      </w:pPr>
    </w:p>
    <w:p>
      <w:pPr>
        <w:widowControl/>
        <w:spacing w:line="400" w:lineRule="exact"/>
        <w:jc w:val="left"/>
        <w:rPr>
          <w:rFonts w:ascii="仿宋_GB2312" w:hAnsi="仿宋" w:eastAsia="仿宋_GB2312" w:cs="仿宋_GB2312"/>
          <w:kern w:val="0"/>
          <w:sz w:val="32"/>
          <w:szCs w:val="32"/>
        </w:rPr>
      </w:pPr>
    </w:p>
    <w:p>
      <w:pPr>
        <w:widowControl/>
        <w:spacing w:line="400" w:lineRule="exact"/>
        <w:jc w:val="left"/>
        <w:rPr>
          <w:rFonts w:ascii="仿宋_GB2312" w:hAnsi="仿宋" w:eastAsia="仿宋_GB2312" w:cs="仿宋_GB2312"/>
          <w:kern w:val="0"/>
          <w:sz w:val="32"/>
          <w:szCs w:val="32"/>
        </w:rPr>
      </w:pPr>
    </w:p>
    <w:p>
      <w:pPr>
        <w:widowControl/>
        <w:spacing w:line="400" w:lineRule="exact"/>
        <w:jc w:val="left"/>
        <w:rPr>
          <w:rFonts w:ascii="仿宋_GB2312" w:hAnsi="仿宋" w:eastAsia="仿宋_GB2312" w:cs="仿宋_GB2312"/>
          <w:kern w:val="0"/>
          <w:sz w:val="32"/>
          <w:szCs w:val="32"/>
        </w:rPr>
      </w:pPr>
    </w:p>
    <w:p>
      <w:pPr>
        <w:widowControl/>
        <w:spacing w:line="400" w:lineRule="exact"/>
        <w:jc w:val="left"/>
        <w:rPr>
          <w:rFonts w:ascii="仿宋_GB2312" w:hAnsi="仿宋" w:eastAsia="仿宋_GB2312" w:cs="仿宋_GB2312"/>
          <w:kern w:val="0"/>
          <w:sz w:val="32"/>
          <w:szCs w:val="32"/>
        </w:rPr>
      </w:pPr>
    </w:p>
    <w:p>
      <w:pPr>
        <w:widowControl/>
        <w:spacing w:line="400" w:lineRule="exact"/>
        <w:jc w:val="left"/>
        <w:rPr>
          <w:rFonts w:ascii="仿宋_GB2312" w:hAnsi="仿宋" w:eastAsia="仿宋_GB2312" w:cs="仿宋_GB2312"/>
          <w:kern w:val="0"/>
          <w:sz w:val="32"/>
          <w:szCs w:val="32"/>
        </w:rPr>
      </w:pPr>
    </w:p>
    <w:p>
      <w:pPr>
        <w:widowControl/>
        <w:spacing w:line="400" w:lineRule="exact"/>
        <w:jc w:val="left"/>
        <w:rPr>
          <w:rFonts w:ascii="仿宋_GB2312" w:hAnsi="仿宋" w:eastAsia="仿宋_GB2312" w:cs="仿宋_GB2312"/>
          <w:kern w:val="0"/>
          <w:sz w:val="32"/>
          <w:szCs w:val="32"/>
        </w:rPr>
      </w:pPr>
    </w:p>
    <w:p>
      <w:pPr>
        <w:widowControl/>
        <w:spacing w:line="400" w:lineRule="exact"/>
        <w:jc w:val="left"/>
        <w:rPr>
          <w:rFonts w:ascii="仿宋_GB2312" w:hAnsi="仿宋" w:eastAsia="仿宋_GB2312" w:cs="仿宋_GB2312"/>
          <w:kern w:val="0"/>
          <w:sz w:val="32"/>
          <w:szCs w:val="32"/>
        </w:rPr>
      </w:pPr>
    </w:p>
    <w:p>
      <w:pPr>
        <w:widowControl/>
        <w:spacing w:line="400" w:lineRule="exact"/>
        <w:jc w:val="left"/>
        <w:rPr>
          <w:rFonts w:ascii="仿宋_GB2312" w:hAnsi="仿宋" w:eastAsia="仿宋_GB2312" w:cs="仿宋_GB2312"/>
          <w:kern w:val="0"/>
          <w:sz w:val="32"/>
          <w:szCs w:val="32"/>
        </w:rPr>
      </w:pPr>
    </w:p>
    <w:p>
      <w:pPr>
        <w:widowControl/>
        <w:spacing w:line="400" w:lineRule="exact"/>
        <w:jc w:val="left"/>
        <w:rPr>
          <w:rFonts w:ascii="仿宋_GB2312" w:hAnsi="仿宋" w:eastAsia="仿宋_GB2312" w:cs="仿宋_GB2312"/>
          <w:kern w:val="0"/>
          <w:sz w:val="32"/>
          <w:szCs w:val="32"/>
        </w:rPr>
      </w:pPr>
    </w:p>
    <w:p>
      <w:pPr>
        <w:widowControl/>
        <w:spacing w:line="400" w:lineRule="exact"/>
        <w:jc w:val="left"/>
        <w:rPr>
          <w:rFonts w:ascii="仿宋_GB2312" w:hAnsi="仿宋" w:eastAsia="仿宋_GB2312" w:cs="仿宋_GB2312"/>
          <w:kern w:val="0"/>
          <w:sz w:val="32"/>
          <w:szCs w:val="32"/>
        </w:rPr>
      </w:pPr>
    </w:p>
    <w:p>
      <w:pPr>
        <w:widowControl/>
        <w:spacing w:line="400" w:lineRule="exact"/>
        <w:jc w:val="left"/>
        <w:rPr>
          <w:rFonts w:ascii="仿宋_GB2312" w:hAnsi="仿宋" w:eastAsia="仿宋_GB2312" w:cs="仿宋_GB2312"/>
          <w:kern w:val="0"/>
          <w:sz w:val="32"/>
          <w:szCs w:val="32"/>
        </w:rPr>
      </w:pPr>
    </w:p>
    <w:p>
      <w:pPr>
        <w:widowControl/>
        <w:spacing w:line="400" w:lineRule="exact"/>
        <w:jc w:val="left"/>
        <w:rPr>
          <w:rFonts w:ascii="仿宋_GB2312" w:hAnsi="仿宋" w:eastAsia="仿宋_GB2312" w:cs="仿宋_GB2312"/>
          <w:kern w:val="0"/>
          <w:sz w:val="32"/>
          <w:szCs w:val="32"/>
        </w:rPr>
      </w:pPr>
    </w:p>
    <w:p>
      <w:pPr>
        <w:widowControl/>
        <w:spacing w:line="400" w:lineRule="exact"/>
        <w:jc w:val="left"/>
        <w:rPr>
          <w:rFonts w:ascii="仿宋_GB2312" w:hAnsi="仿宋" w:eastAsia="仿宋_GB2312" w:cs="仿宋_GB2312"/>
          <w:kern w:val="0"/>
          <w:sz w:val="32"/>
          <w:szCs w:val="32"/>
        </w:rPr>
      </w:pPr>
    </w:p>
    <w:p>
      <w:pPr>
        <w:widowControl/>
        <w:spacing w:line="400" w:lineRule="exact"/>
        <w:jc w:val="left"/>
        <w:rPr>
          <w:rFonts w:ascii="仿宋_GB2312" w:hAnsi="仿宋" w:eastAsia="仿宋_GB2312" w:cs="仿宋_GB2312"/>
          <w:kern w:val="0"/>
          <w:sz w:val="32"/>
          <w:szCs w:val="32"/>
        </w:rPr>
      </w:pPr>
    </w:p>
    <w:p>
      <w:pPr>
        <w:widowControl/>
        <w:spacing w:line="400" w:lineRule="exact"/>
        <w:jc w:val="left"/>
        <w:rPr>
          <w:rFonts w:ascii="仿宋_GB2312" w:hAnsi="仿宋" w:eastAsia="仿宋_GB2312" w:cs="仿宋_GB2312"/>
          <w:kern w:val="0"/>
          <w:sz w:val="32"/>
          <w:szCs w:val="32"/>
        </w:rPr>
      </w:pPr>
    </w:p>
    <w:p>
      <w:pPr>
        <w:widowControl/>
        <w:spacing w:line="400" w:lineRule="exact"/>
        <w:jc w:val="left"/>
        <w:rPr>
          <w:rFonts w:ascii="仿宋_GB2312" w:hAnsi="仿宋" w:eastAsia="仿宋_GB2312" w:cs="仿宋_GB2312"/>
          <w:kern w:val="0"/>
          <w:sz w:val="32"/>
          <w:szCs w:val="32"/>
        </w:rPr>
      </w:pPr>
      <w:r>
        <w:rPr>
          <w:rFonts w:hint="eastAsia" w:ascii="仿宋_GB2312" w:hAnsi="仿宋" w:eastAsia="仿宋_GB2312" w:cs="仿宋_GB2312"/>
          <w:kern w:val="0"/>
          <w:sz w:val="32"/>
          <w:szCs w:val="32"/>
        </w:rPr>
        <w:t>附件2：</w:t>
      </w:r>
    </w:p>
    <w:p>
      <w:pPr>
        <w:widowControl/>
        <w:spacing w:line="600" w:lineRule="atLeast"/>
        <w:jc w:val="center"/>
        <w:rPr>
          <w:rFonts w:ascii="仿宋_GB2312" w:hAnsi="仿宋" w:eastAsia="仿宋_GB2312" w:cs="宋体"/>
          <w:kern w:val="0"/>
          <w:sz w:val="20"/>
          <w:szCs w:val="20"/>
        </w:rPr>
      </w:pPr>
      <w:r>
        <w:rPr>
          <w:rFonts w:hint="eastAsia" w:ascii="仿宋_GB2312" w:hAnsi="仿宋" w:eastAsia="仿宋_GB2312" w:cs="宋体"/>
          <w:b/>
          <w:color w:val="000000"/>
          <w:kern w:val="0"/>
          <w:sz w:val="20"/>
          <w:szCs w:val="20"/>
        </w:rPr>
        <w:t>部门整体支出绩效评价指标体系评分表</w:t>
      </w:r>
    </w:p>
    <w:tbl>
      <w:tblPr>
        <w:tblStyle w:val="5"/>
        <w:tblW w:w="97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9"/>
        <w:gridCol w:w="1049"/>
        <w:gridCol w:w="709"/>
        <w:gridCol w:w="4536"/>
        <w:gridCol w:w="1899"/>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8" w:lineRule="atLeast"/>
              <w:jc w:val="center"/>
              <w:rPr>
                <w:rFonts w:ascii="仿宋_GB2312" w:hAnsi="仿宋" w:eastAsia="仿宋_GB2312" w:cs="宋体"/>
                <w:kern w:val="0"/>
                <w:sz w:val="20"/>
                <w:szCs w:val="20"/>
              </w:rPr>
            </w:pPr>
            <w:r>
              <w:rPr>
                <w:rFonts w:hint="eastAsia" w:ascii="仿宋_GB2312" w:hAnsi="仿宋" w:eastAsia="仿宋_GB2312" w:cs="Arial"/>
                <w:b/>
                <w:bCs/>
                <w:kern w:val="0"/>
                <w:sz w:val="20"/>
                <w:szCs w:val="20"/>
              </w:rPr>
              <w:t>一级指标</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8" w:lineRule="atLeast"/>
              <w:jc w:val="center"/>
              <w:rPr>
                <w:rFonts w:ascii="仿宋_GB2312" w:hAnsi="仿宋" w:eastAsia="仿宋_GB2312" w:cs="宋体"/>
                <w:kern w:val="0"/>
                <w:sz w:val="20"/>
                <w:szCs w:val="20"/>
              </w:rPr>
            </w:pPr>
            <w:r>
              <w:rPr>
                <w:rFonts w:hint="eastAsia" w:ascii="仿宋_GB2312" w:hAnsi="仿宋" w:eastAsia="仿宋_GB2312" w:cs="Arial"/>
                <w:b/>
                <w:bCs/>
                <w:kern w:val="0"/>
                <w:sz w:val="20"/>
                <w:szCs w:val="20"/>
              </w:rPr>
              <w:t>二级指标</w:t>
            </w:r>
          </w:p>
        </w:tc>
        <w:tc>
          <w:tcPr>
            <w:tcW w:w="5245"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center"/>
              <w:rPr>
                <w:rFonts w:ascii="仿宋_GB2312" w:hAnsi="仿宋" w:eastAsia="仿宋_GB2312" w:cs="宋体"/>
                <w:kern w:val="0"/>
                <w:sz w:val="20"/>
                <w:szCs w:val="20"/>
              </w:rPr>
            </w:pPr>
            <w:r>
              <w:rPr>
                <w:rFonts w:hint="eastAsia" w:ascii="仿宋_GB2312" w:hAnsi="仿宋" w:eastAsia="仿宋_GB2312" w:cs="Arial"/>
                <w:b/>
                <w:bCs/>
                <w:kern w:val="0"/>
                <w:sz w:val="20"/>
                <w:szCs w:val="20"/>
              </w:rPr>
              <w:t>三级指标</w:t>
            </w:r>
          </w:p>
        </w:tc>
        <w:tc>
          <w:tcPr>
            <w:tcW w:w="1899"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center"/>
              <w:rPr>
                <w:rFonts w:ascii="仿宋_GB2312" w:hAnsi="仿宋" w:eastAsia="仿宋_GB2312" w:cs="宋体"/>
                <w:kern w:val="0"/>
                <w:sz w:val="20"/>
                <w:szCs w:val="20"/>
              </w:rPr>
            </w:pPr>
            <w:r>
              <w:rPr>
                <w:rFonts w:hint="eastAsia" w:ascii="仿宋_GB2312" w:hAnsi="仿宋" w:eastAsia="仿宋_GB2312" w:cs="Arial"/>
                <w:b/>
                <w:bCs/>
                <w:kern w:val="0"/>
                <w:sz w:val="20"/>
                <w:szCs w:val="20"/>
              </w:rPr>
              <w:t>评分标准</w:t>
            </w:r>
          </w:p>
        </w:tc>
        <w:tc>
          <w:tcPr>
            <w:tcW w:w="79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center"/>
              <w:rPr>
                <w:rFonts w:ascii="仿宋_GB2312" w:hAnsi="仿宋" w:eastAsia="仿宋_GB2312" w:cs="宋体"/>
                <w:kern w:val="0"/>
                <w:sz w:val="20"/>
                <w:szCs w:val="20"/>
              </w:rPr>
            </w:pPr>
            <w:r>
              <w:rPr>
                <w:rFonts w:hint="eastAsia" w:ascii="仿宋_GB2312" w:hAnsi="仿宋" w:eastAsia="仿宋_GB2312" w:cs="Arial"/>
                <w:b/>
                <w:bCs/>
                <w:kern w:val="0"/>
                <w:sz w:val="20"/>
                <w:szCs w:val="2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center"/>
              <w:rPr>
                <w:rFonts w:ascii="仿宋_GB2312" w:hAnsi="仿宋" w:eastAsia="仿宋_GB2312" w:cs="宋体"/>
                <w:kern w:val="0"/>
                <w:sz w:val="20"/>
                <w:szCs w:val="20"/>
              </w:rPr>
            </w:pPr>
            <w:r>
              <w:rPr>
                <w:rFonts w:hint="eastAsia" w:ascii="仿宋_GB2312" w:hAnsi="仿宋" w:eastAsia="仿宋_GB2312" w:cs="Arial"/>
                <w:b/>
                <w:bCs/>
                <w:kern w:val="0"/>
                <w:sz w:val="20"/>
                <w:szCs w:val="20"/>
              </w:rPr>
              <w:t>指标名称</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center"/>
              <w:rPr>
                <w:rFonts w:ascii="仿宋_GB2312" w:hAnsi="仿宋" w:eastAsia="仿宋_GB2312" w:cs="宋体"/>
                <w:kern w:val="0"/>
                <w:sz w:val="20"/>
                <w:szCs w:val="20"/>
              </w:rPr>
            </w:pPr>
            <w:r>
              <w:rPr>
                <w:rFonts w:hint="eastAsia" w:ascii="仿宋_GB2312" w:hAnsi="仿宋" w:eastAsia="仿宋_GB2312" w:cs="Arial"/>
                <w:b/>
                <w:bCs/>
                <w:kern w:val="0"/>
                <w:sz w:val="20"/>
                <w:szCs w:val="20"/>
              </w:rPr>
              <w:t>指标解释说明</w:t>
            </w:r>
          </w:p>
        </w:tc>
        <w:tc>
          <w:tcPr>
            <w:tcW w:w="1899"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仿宋_GB2312" w:hAnsi="仿宋" w:eastAsia="仿宋_GB2312" w:cs="宋体"/>
                <w:kern w:val="0"/>
                <w:sz w:val="20"/>
                <w:szCs w:val="20"/>
              </w:rPr>
            </w:pPr>
          </w:p>
        </w:tc>
        <w:tc>
          <w:tcPr>
            <w:tcW w:w="794"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仿宋_GB2312" w:hAnsi="仿宋" w:eastAsia="仿宋_GB2312" w:cs="宋体"/>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jc w:val="center"/>
        </w:trPr>
        <w:tc>
          <w:tcPr>
            <w:tcW w:w="769" w:type="dxa"/>
            <w:vMerge w:val="restart"/>
            <w:tcBorders>
              <w:top w:val="single" w:color="000000" w:sz="4" w:space="0"/>
              <w:left w:val="single" w:color="000000" w:sz="4" w:space="0"/>
              <w:right w:val="single" w:color="000000" w:sz="4" w:space="0"/>
            </w:tcBorders>
          </w:tcPr>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r>
              <w:rPr>
                <w:rFonts w:hint="eastAsia" w:ascii="仿宋_GB2312" w:hAnsi="仿宋" w:eastAsia="仿宋_GB2312" w:cs="Arial"/>
                <w:kern w:val="0"/>
                <w:sz w:val="20"/>
                <w:szCs w:val="20"/>
              </w:rPr>
              <w:t>投入（15分）</w:t>
            </w: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投入（15分）</w:t>
            </w:r>
          </w:p>
        </w:tc>
        <w:tc>
          <w:tcPr>
            <w:tcW w:w="1049" w:type="dxa"/>
            <w:vMerge w:val="restart"/>
            <w:tcBorders>
              <w:top w:val="single" w:color="000000" w:sz="4" w:space="0"/>
              <w:left w:val="single" w:color="000000" w:sz="4" w:space="0"/>
              <w:right w:val="single" w:color="000000" w:sz="4" w:space="0"/>
            </w:tcBorders>
          </w:tcPr>
          <w:p>
            <w:pPr>
              <w:widowControl/>
              <w:spacing w:line="240" w:lineRule="exact"/>
              <w:jc w:val="left"/>
              <w:rPr>
                <w:rFonts w:ascii="仿宋_GB2312" w:hAnsi="仿宋" w:eastAsia="仿宋_GB2312" w:cs="Arial"/>
                <w:kern w:val="0"/>
                <w:sz w:val="20"/>
                <w:szCs w:val="20"/>
              </w:rPr>
            </w:pPr>
          </w:p>
          <w:p>
            <w:pPr>
              <w:widowControl/>
              <w:spacing w:line="240" w:lineRule="exact"/>
              <w:jc w:val="left"/>
              <w:rPr>
                <w:rFonts w:ascii="仿宋_GB2312" w:hAnsi="仿宋" w:eastAsia="仿宋_GB2312" w:cs="Arial"/>
                <w:kern w:val="0"/>
                <w:sz w:val="20"/>
                <w:szCs w:val="20"/>
              </w:rPr>
            </w:pPr>
          </w:p>
          <w:p>
            <w:pPr>
              <w:widowControl/>
              <w:spacing w:line="240" w:lineRule="exact"/>
              <w:jc w:val="left"/>
              <w:rPr>
                <w:rFonts w:ascii="仿宋_GB2312" w:hAnsi="仿宋" w:eastAsia="仿宋_GB2312" w:cs="Arial"/>
                <w:kern w:val="0"/>
                <w:sz w:val="20"/>
                <w:szCs w:val="20"/>
              </w:rPr>
            </w:pPr>
          </w:p>
          <w:p>
            <w:pPr>
              <w:widowControl/>
              <w:spacing w:line="240" w:lineRule="exact"/>
              <w:jc w:val="left"/>
              <w:rPr>
                <w:rFonts w:ascii="仿宋_GB2312" w:hAnsi="仿宋" w:eastAsia="仿宋_GB2312" w:cs="Arial"/>
                <w:kern w:val="0"/>
                <w:sz w:val="20"/>
                <w:szCs w:val="20"/>
              </w:rPr>
            </w:pPr>
          </w:p>
          <w:p>
            <w:pPr>
              <w:widowControl/>
              <w:spacing w:line="240" w:lineRule="exact"/>
              <w:jc w:val="left"/>
              <w:rPr>
                <w:rFonts w:ascii="仿宋_GB2312" w:hAnsi="仿宋" w:eastAsia="仿宋_GB2312" w:cs="Arial"/>
                <w:kern w:val="0"/>
                <w:sz w:val="20"/>
                <w:szCs w:val="20"/>
              </w:rPr>
            </w:pPr>
          </w:p>
          <w:p>
            <w:pPr>
              <w:widowControl/>
              <w:spacing w:line="240" w:lineRule="exact"/>
              <w:jc w:val="left"/>
              <w:rPr>
                <w:rFonts w:ascii="仿宋_GB2312" w:hAnsi="仿宋" w:eastAsia="仿宋_GB2312" w:cs="Arial"/>
                <w:kern w:val="0"/>
                <w:sz w:val="20"/>
                <w:szCs w:val="20"/>
              </w:rPr>
            </w:pPr>
          </w:p>
          <w:p>
            <w:pPr>
              <w:widowControl/>
              <w:spacing w:line="240" w:lineRule="exact"/>
              <w:jc w:val="left"/>
              <w:rPr>
                <w:rFonts w:ascii="仿宋_GB2312" w:hAnsi="仿宋" w:eastAsia="仿宋_GB2312" w:cs="Arial"/>
                <w:kern w:val="0"/>
                <w:sz w:val="20"/>
                <w:szCs w:val="20"/>
              </w:rPr>
            </w:pPr>
          </w:p>
          <w:p>
            <w:pPr>
              <w:widowControl/>
              <w:spacing w:line="240" w:lineRule="exact"/>
              <w:jc w:val="left"/>
              <w:rPr>
                <w:rFonts w:ascii="仿宋_GB2312" w:hAnsi="仿宋" w:eastAsia="仿宋_GB2312" w:cs="Arial"/>
                <w:kern w:val="0"/>
                <w:sz w:val="20"/>
                <w:szCs w:val="20"/>
              </w:rPr>
            </w:pPr>
          </w:p>
          <w:p>
            <w:pPr>
              <w:widowControl/>
              <w:spacing w:line="240" w:lineRule="exact"/>
              <w:jc w:val="left"/>
              <w:rPr>
                <w:rFonts w:ascii="仿宋_GB2312" w:hAnsi="仿宋" w:eastAsia="仿宋_GB2312" w:cs="Arial"/>
                <w:kern w:val="0"/>
                <w:sz w:val="20"/>
                <w:szCs w:val="20"/>
              </w:rPr>
            </w:pPr>
          </w:p>
          <w:p>
            <w:pPr>
              <w:widowControl/>
              <w:spacing w:line="240" w:lineRule="exact"/>
              <w:jc w:val="left"/>
              <w:rPr>
                <w:rFonts w:ascii="仿宋_GB2312" w:hAnsi="仿宋" w:eastAsia="仿宋_GB2312" w:cs="Arial"/>
                <w:kern w:val="0"/>
                <w:sz w:val="20"/>
                <w:szCs w:val="20"/>
              </w:rPr>
            </w:pPr>
          </w:p>
          <w:p>
            <w:pPr>
              <w:widowControl/>
              <w:spacing w:line="240" w:lineRule="exact"/>
              <w:jc w:val="left"/>
              <w:rPr>
                <w:rFonts w:ascii="仿宋_GB2312" w:hAnsi="仿宋" w:eastAsia="仿宋_GB2312" w:cs="Arial"/>
                <w:kern w:val="0"/>
                <w:sz w:val="20"/>
                <w:szCs w:val="20"/>
              </w:rPr>
            </w:pPr>
          </w:p>
          <w:p>
            <w:pPr>
              <w:widowControl/>
              <w:spacing w:line="240" w:lineRule="exact"/>
              <w:jc w:val="left"/>
              <w:rPr>
                <w:rFonts w:ascii="仿宋_GB2312" w:hAnsi="仿宋" w:eastAsia="仿宋_GB2312" w:cs="Arial"/>
                <w:kern w:val="0"/>
                <w:sz w:val="20"/>
                <w:szCs w:val="20"/>
              </w:rPr>
            </w:pPr>
          </w:p>
          <w:p>
            <w:pPr>
              <w:widowControl/>
              <w:spacing w:line="240" w:lineRule="exact"/>
              <w:jc w:val="left"/>
              <w:rPr>
                <w:rFonts w:ascii="仿宋_GB2312" w:hAnsi="仿宋" w:eastAsia="仿宋_GB2312" w:cs="Arial"/>
                <w:kern w:val="0"/>
                <w:sz w:val="20"/>
                <w:szCs w:val="20"/>
              </w:rPr>
            </w:pP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目标设定</w:t>
            </w:r>
          </w:p>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（5分）</w:t>
            </w:r>
          </w:p>
        </w:tc>
        <w:tc>
          <w:tcPr>
            <w:tcW w:w="709" w:type="dxa"/>
            <w:tcBorders>
              <w:top w:val="single" w:color="000000" w:sz="4" w:space="0"/>
              <w:left w:val="single" w:color="000000" w:sz="4" w:space="0"/>
              <w:bottom w:val="single" w:color="auto" w:sz="4" w:space="0"/>
              <w:right w:val="single" w:color="auto" w:sz="4" w:space="0"/>
            </w:tcBorders>
          </w:tcPr>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职责明确（1分）</w:t>
            </w:r>
          </w:p>
        </w:tc>
        <w:tc>
          <w:tcPr>
            <w:tcW w:w="4536" w:type="dxa"/>
            <w:tcBorders>
              <w:top w:val="single" w:color="000000" w:sz="4" w:space="0"/>
              <w:left w:val="single" w:color="auto" w:sz="4" w:space="0"/>
              <w:bottom w:val="single" w:color="auto" w:sz="4" w:space="0"/>
              <w:right w:val="single" w:color="auto" w:sz="4" w:space="0"/>
            </w:tcBorders>
          </w:tcPr>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部门的职责设定是否符合“三定”方案中所赋予的职责和年度承担的重点工作，用以反映和评价部门工作的目的性与计划性。</w:t>
            </w:r>
          </w:p>
        </w:tc>
        <w:tc>
          <w:tcPr>
            <w:tcW w:w="1899" w:type="dxa"/>
            <w:tcBorders>
              <w:top w:val="single" w:color="000000" w:sz="4" w:space="0"/>
              <w:left w:val="single" w:color="auto" w:sz="4" w:space="0"/>
              <w:bottom w:val="single" w:color="auto" w:sz="4" w:space="0"/>
              <w:right w:val="single" w:color="auto" w:sz="4" w:space="0"/>
            </w:tcBorders>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符合（1分）；</w:t>
            </w:r>
          </w:p>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不符合（0分）。</w:t>
            </w:r>
          </w:p>
        </w:tc>
        <w:tc>
          <w:tcPr>
            <w:tcW w:w="794" w:type="dxa"/>
            <w:tcBorders>
              <w:top w:val="single" w:color="000000" w:sz="4" w:space="0"/>
              <w:left w:val="single" w:color="auto" w:sz="4" w:space="0"/>
              <w:bottom w:val="single" w:color="auto" w:sz="4" w:space="0"/>
              <w:right w:val="single" w:color="000000" w:sz="4" w:space="0"/>
            </w:tcBorders>
          </w:tcPr>
          <w:p>
            <w:pPr>
              <w:widowControl/>
              <w:spacing w:line="68" w:lineRule="atLeast"/>
              <w:jc w:val="left"/>
              <w:rPr>
                <w:rFonts w:ascii="仿宋_GB2312" w:hAnsi="仿宋" w:eastAsia="仿宋_GB2312" w:cs="宋体"/>
                <w:kern w:val="0"/>
                <w:sz w:val="20"/>
                <w:szCs w:val="20"/>
              </w:rPr>
            </w:pPr>
            <w:r>
              <w:rPr>
                <w:rFonts w:hint="eastAsia" w:ascii="仿宋_GB2312" w:hAnsi="宋体" w:eastAsia="仿宋_GB2312" w:cs="Arial"/>
                <w:kern w:val="0"/>
                <w:sz w:val="20"/>
                <w:szCs w:val="20"/>
              </w:rPr>
              <w:t>1</w:t>
            </w:r>
            <w:r>
              <w:rPr>
                <w:rFonts w:hint="eastAsia" w:ascii="宋体" w:hAnsi="宋体" w:eastAsia="仿宋_GB2312" w:cs="Arial"/>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1049" w:type="dxa"/>
            <w:vMerge w:val="continue"/>
            <w:tcBorders>
              <w:left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活动合规性（1分）</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部门的活动是否在职责范围之内并符合部门中长期规划，用以反映和评价部门活动目标与部门履职、年度工作任务的相符性情况。</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评价要点：</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1.部门活动的设定在部门所确定的职责范围之内；</w:t>
            </w:r>
          </w:p>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2.部门活动符合县委、县政府的发展规划及本部门的年度工作安排与发展规划。</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全部符合（1分）；</w:t>
            </w:r>
          </w:p>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其中一项不符合（0分）。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宋体" w:hAnsi="宋体" w:eastAsia="仿宋_GB2312" w:cs="Arial"/>
                <w:kern w:val="0"/>
                <w:sz w:val="20"/>
                <w:szCs w:val="20"/>
              </w:rPr>
              <w:t> </w:t>
            </w:r>
            <w:r>
              <w:rPr>
                <w:rFonts w:hint="eastAsia" w:ascii="仿宋_GB2312" w:hAnsi="宋体" w:eastAsia="仿宋_GB2312" w:cs="Arial"/>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1049" w:type="dxa"/>
            <w:vMerge w:val="continue"/>
            <w:tcBorders>
              <w:left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活动合理性（1分）</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部门所设立的活动是否明确合理、活动的关键性指标设置是否可衡量，用以反映和评价部门活动目标设定的合理性。</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评价要点：</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1.活动目标的设定是可量化的，可通过清晰、可衡量的关键指标值予以体现；</w:t>
            </w:r>
          </w:p>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2.在活动目标设定时，将关键指标明细分解为具体的达成目标与工作任务。</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全部符合（1分）；</w:t>
            </w:r>
          </w:p>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其中一项不符合（0分）。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宋体" w:hAnsi="宋体" w:eastAsia="仿宋_GB2312" w:cs="Arial"/>
                <w:kern w:val="0"/>
                <w:sz w:val="20"/>
                <w:szCs w:val="20"/>
              </w:rPr>
              <w:t> </w:t>
            </w:r>
            <w:r>
              <w:rPr>
                <w:rFonts w:hint="eastAsia" w:ascii="仿宋_GB2312" w:hAnsi="宋体" w:eastAsia="仿宋_GB2312" w:cs="Arial"/>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1049" w:type="dxa"/>
            <w:vMerge w:val="continue"/>
            <w:tcBorders>
              <w:left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_GB2312" w:hAnsi="仿宋" w:eastAsia="仿宋_GB2312" w:cs="Arial"/>
                <w:kern w:val="0"/>
                <w:sz w:val="20"/>
                <w:szCs w:val="20"/>
              </w:rPr>
            </w:pPr>
            <w:r>
              <w:rPr>
                <w:rFonts w:hint="eastAsia" w:ascii="仿宋_GB2312" w:hAnsi="仿宋" w:eastAsia="仿宋_GB2312" w:cs="Arial"/>
                <w:kern w:val="0"/>
                <w:sz w:val="20"/>
                <w:szCs w:val="20"/>
              </w:rPr>
              <w:t>目标覆盖率（1分）</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部门年度申报绩效目标项目资金额与部门项目预算资金总额的比率，用以反映部门落实财政部门绩效目标申报要求的资金覆盖情况。</w:t>
            </w:r>
          </w:p>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覆盖率=实际申报绩效目标项目资金总额/部门项目预算资金总额×100%</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达到目标值得1分，未达到目标值</w:t>
            </w:r>
            <w:r>
              <w:rPr>
                <w:rFonts w:hint="eastAsia" w:ascii="仿宋_GB2312" w:hAnsi="仿宋" w:eastAsia="仿宋_GB2312" w:cs="宋体"/>
                <w:kern w:val="0"/>
                <w:sz w:val="20"/>
                <w:szCs w:val="20"/>
              </w:rPr>
              <w:t>采用完成比率法计分：</w:t>
            </w:r>
            <w:r>
              <w:rPr>
                <w:rFonts w:hint="eastAsia" w:ascii="仿宋_GB2312" w:hAnsi="仿宋" w:eastAsia="仿宋_GB2312" w:cs="Arial"/>
                <w:kern w:val="0"/>
                <w:sz w:val="20"/>
                <w:szCs w:val="20"/>
              </w:rPr>
              <w:t>得分=覆盖率/目标值×1，超过目标值不加分。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ascii="仿宋_GB2312" w:hAnsi="宋体" w:eastAsia="仿宋_GB2312" w:cs="Arial"/>
                <w:kern w:val="0"/>
                <w:sz w:val="20"/>
                <w:szCs w:val="20"/>
              </w:rPr>
            </w:pPr>
            <w:r>
              <w:rPr>
                <w:rFonts w:hint="eastAsia" w:ascii="仿宋_GB2312" w:hAnsi="宋体" w:eastAsia="仿宋_GB2312" w:cs="Arial"/>
                <w:kern w:val="0"/>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_GB2312" w:hAnsi="仿宋" w:eastAsia="仿宋_GB2312" w:cs="Arial"/>
                <w:kern w:val="0"/>
                <w:sz w:val="20"/>
                <w:szCs w:val="20"/>
              </w:rPr>
            </w:pPr>
            <w:r>
              <w:rPr>
                <w:rFonts w:hint="eastAsia" w:ascii="仿宋_GB2312" w:hAnsi="仿宋" w:eastAsia="仿宋_GB2312" w:cs="Arial"/>
                <w:kern w:val="0"/>
                <w:sz w:val="20"/>
                <w:szCs w:val="20"/>
              </w:rPr>
              <w:t>目标管理创新（1分）</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部门编报整体绩效目标和申报项目绩效目标的数量超过规定的要求。用以反映和考核部门绩效目标管理创新工作情况。</w:t>
            </w:r>
          </w:p>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项目绩效目标创新=部门绩效目标编报数量-按财政部门要求的绩效目标填报数量</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每超过1项得0.1分，满分1分。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ascii="仿宋_GB2312" w:hAnsi="宋体" w:eastAsia="仿宋_GB2312" w:cs="Arial"/>
                <w:kern w:val="0"/>
                <w:sz w:val="20"/>
                <w:szCs w:val="20"/>
              </w:rPr>
            </w:pPr>
            <w:r>
              <w:rPr>
                <w:rFonts w:hint="eastAsia" w:ascii="仿宋_GB2312" w:hAnsi="宋体" w:eastAsia="仿宋_GB2312" w:cs="Arial"/>
                <w:kern w:val="0"/>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3"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1049"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预算配置(10分)</w:t>
            </w: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财政供养人员控制率（3分）</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部门本年度实际在职人员数与编制数的比率，用以反映和评价部门对人员成本的控制程度。</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在职人员控制率=（在职人员数/编制数）×100%。</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在职人员数：部门实际在职人数，以财政部确定的部门决算编制口径为准，由编制部门和人劳部门批复同意的临聘人员除外。</w:t>
            </w:r>
          </w:p>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编制数：机构编制部门核定批复的部门人员编制数。</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目标值≤100%；达到目标值得3分，每超出1人扣0.1分，扣完为止。</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宋体" w:hAnsi="宋体" w:eastAsia="仿宋_GB2312" w:cs="Arial"/>
                <w:kern w:val="0"/>
                <w:sz w:val="20"/>
                <w:szCs w:val="20"/>
              </w:rPr>
              <w:t> </w:t>
            </w:r>
            <w:r>
              <w:rPr>
                <w:rFonts w:hint="eastAsia" w:ascii="仿宋_GB2312" w:hAnsi="宋体" w:eastAsia="仿宋_GB2312" w:cs="Arial"/>
                <w:kern w:val="0"/>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5"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1049" w:type="dxa"/>
            <w:vMerge w:val="continue"/>
            <w:tcBorders>
              <w:left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_GB2312" w:hAnsi="仿宋" w:eastAsia="仿宋_GB2312" w:cs="Arial"/>
                <w:kern w:val="0"/>
                <w:sz w:val="20"/>
                <w:szCs w:val="20"/>
              </w:rPr>
            </w:pPr>
            <w:r>
              <w:rPr>
                <w:rFonts w:hint="eastAsia" w:ascii="仿宋_GB2312" w:hAnsi="仿宋" w:eastAsia="仿宋_GB2312" w:cs="Arial"/>
                <w:kern w:val="0"/>
                <w:sz w:val="20"/>
                <w:szCs w:val="20"/>
              </w:rPr>
              <w:t>“三公经费”变动率（4分）</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部门本年度“三公经费”预算数与上年度“三公经费”预算数的变动比率，用以反映和考核部门对控制重点行政成本的努力程度。</w:t>
            </w:r>
          </w:p>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“三公经费”变动率=〔（本年度“三公经费”总额-上年度“三公经费”总额）/上年度“三公经费”总额〕×100%</w:t>
            </w:r>
          </w:p>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“三公经费”：年度预算安排的因公出国（境）费、公务车辆购置及运行费和公务招待费。</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目标值≤0；达到目标值得4分，未达到目标值的采用比率扣分法：扣分值=“三公经费”变动率×4×10，变动率达10%以上的扣4分。</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宋体" w:hAnsi="宋体" w:eastAsia="仿宋_GB2312" w:cs="Arial"/>
                <w:kern w:val="0"/>
                <w:sz w:val="20"/>
                <w:szCs w:val="20"/>
              </w:rPr>
              <w:t> </w:t>
            </w:r>
            <w:r>
              <w:rPr>
                <w:rFonts w:hint="eastAsia" w:ascii="仿宋_GB2312" w:hAnsi="宋体" w:eastAsia="仿宋_GB2312" w:cs="Arial"/>
                <w:kern w:val="0"/>
                <w:sz w:val="20"/>
                <w:szCs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7" w:hRule="atLeast"/>
          <w:jc w:val="center"/>
        </w:trPr>
        <w:tc>
          <w:tcPr>
            <w:tcW w:w="769" w:type="dxa"/>
            <w:vMerge w:val="continue"/>
            <w:tcBorders>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_GB2312" w:hAnsi="仿宋" w:eastAsia="仿宋_GB2312" w:cs="Arial"/>
                <w:kern w:val="0"/>
                <w:sz w:val="20"/>
                <w:szCs w:val="20"/>
              </w:rPr>
            </w:pPr>
            <w:r>
              <w:rPr>
                <w:rFonts w:hint="eastAsia" w:ascii="仿宋_GB2312" w:hAnsi="仿宋" w:eastAsia="仿宋_GB2312" w:cs="Arial"/>
                <w:kern w:val="0"/>
                <w:sz w:val="20"/>
                <w:szCs w:val="20"/>
              </w:rPr>
              <w:t>重点支出安排率（3分）</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部门（单位）本年度预算安排的重点项目支出与部门项目总支出的比率，用以反映和考核部门（单位）对履行主要职责或完成重点任务的保障程度。重点支出安排率=（重点项目支出/项目总支出）×100%。</w:t>
            </w:r>
          </w:p>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重点项目支出：部门（单位）年度预算安排的，与本部门履职和发展密切相关、具有明显社会和经济影响、党委政府关心或社会比较关注的项目支出总额。具体由被评价部门提出后经对口部门预算管理处审核确定。</w:t>
            </w:r>
          </w:p>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项目总支出：部门（单位）年度预算安排的项目支出总额。</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目标值</w:t>
            </w:r>
            <w:r>
              <w:rPr>
                <w:rFonts w:hint="eastAsia" w:ascii="仿宋_GB2312" w:hAnsi="仿宋" w:eastAsia="仿宋_GB2312" w:cs="宋体"/>
                <w:kern w:val="0"/>
                <w:sz w:val="20"/>
                <w:szCs w:val="20"/>
              </w:rPr>
              <w:t>≥70%</w:t>
            </w:r>
            <w:r>
              <w:rPr>
                <w:rFonts w:hint="eastAsia" w:ascii="仿宋_GB2312" w:hAnsi="仿宋" w:eastAsia="仿宋_GB2312" w:cs="Arial"/>
                <w:kern w:val="0"/>
                <w:sz w:val="20"/>
                <w:szCs w:val="20"/>
              </w:rPr>
              <w:t>；以3分为上限，采用完成比率法计分：得分=重点支出安排率/70%×100%×3，超出目标值不加分。</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ascii="仿宋_GB2312" w:hAnsi="宋体" w:eastAsia="仿宋_GB2312" w:cs="Arial"/>
                <w:kern w:val="0"/>
                <w:sz w:val="20"/>
                <w:szCs w:val="20"/>
              </w:rPr>
            </w:pPr>
            <w:r>
              <w:rPr>
                <w:rFonts w:hint="eastAsia" w:ascii="仿宋_GB2312" w:hAnsi="宋体" w:eastAsia="仿宋_GB2312" w:cs="Arial"/>
                <w:kern w:val="0"/>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8" w:hRule="atLeast"/>
          <w:jc w:val="center"/>
        </w:trPr>
        <w:tc>
          <w:tcPr>
            <w:tcW w:w="769" w:type="dxa"/>
            <w:vMerge w:val="restart"/>
            <w:tcBorders>
              <w:top w:val="single" w:color="000000" w:sz="4" w:space="0"/>
              <w:left w:val="single" w:color="000000" w:sz="4" w:space="0"/>
              <w:right w:val="single" w:color="000000" w:sz="4" w:space="0"/>
            </w:tcBorders>
            <w:vAlign w:val="center"/>
          </w:tcPr>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r>
              <w:rPr>
                <w:rFonts w:hint="eastAsia" w:ascii="仿宋_GB2312" w:hAnsi="仿宋" w:eastAsia="仿宋_GB2312" w:cs="Arial"/>
                <w:kern w:val="0"/>
                <w:sz w:val="20"/>
                <w:szCs w:val="20"/>
              </w:rPr>
              <w:t>过程(55分)</w:t>
            </w: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jc w:val="center"/>
              <w:rPr>
                <w:rFonts w:ascii="仿宋_GB2312" w:hAnsi="仿宋" w:eastAsia="仿宋_GB2312" w:cs="Arial"/>
                <w:kern w:val="0"/>
                <w:sz w:val="20"/>
                <w:szCs w:val="20"/>
              </w:rPr>
            </w:pPr>
          </w:p>
          <w:p>
            <w:pPr>
              <w:widowControl/>
              <w:spacing w:line="68" w:lineRule="atLeast"/>
              <w:rPr>
                <w:rFonts w:ascii="仿宋_GB2312" w:hAnsi="仿宋" w:eastAsia="仿宋_GB2312" w:cs="宋体"/>
                <w:kern w:val="0"/>
                <w:sz w:val="20"/>
                <w:szCs w:val="20"/>
              </w:rPr>
            </w:pPr>
          </w:p>
          <w:p>
            <w:pPr>
              <w:widowControl/>
              <w:spacing w:line="68" w:lineRule="atLeast"/>
              <w:rPr>
                <w:rFonts w:ascii="仿宋_GB2312" w:hAnsi="仿宋" w:eastAsia="仿宋_GB2312" w:cs="宋体"/>
                <w:kern w:val="0"/>
                <w:sz w:val="20"/>
                <w:szCs w:val="20"/>
              </w:rPr>
            </w:pPr>
          </w:p>
          <w:p>
            <w:pPr>
              <w:widowControl/>
              <w:spacing w:line="68" w:lineRule="atLeast"/>
              <w:rPr>
                <w:rFonts w:ascii="仿宋_GB2312" w:hAnsi="仿宋" w:eastAsia="仿宋_GB2312" w:cs="宋体"/>
                <w:kern w:val="0"/>
                <w:sz w:val="20"/>
                <w:szCs w:val="20"/>
              </w:rPr>
            </w:pPr>
          </w:p>
          <w:p>
            <w:pPr>
              <w:widowControl/>
              <w:spacing w:line="68" w:lineRule="atLeast"/>
              <w:rPr>
                <w:rFonts w:ascii="仿宋_GB2312" w:hAnsi="仿宋" w:eastAsia="仿宋_GB2312" w:cs="宋体"/>
                <w:kern w:val="0"/>
                <w:sz w:val="20"/>
                <w:szCs w:val="20"/>
              </w:rPr>
            </w:pPr>
          </w:p>
          <w:p>
            <w:pPr>
              <w:widowControl/>
              <w:spacing w:line="68" w:lineRule="atLeast"/>
              <w:rPr>
                <w:rFonts w:ascii="仿宋_GB2312" w:hAnsi="仿宋" w:eastAsia="仿宋_GB2312" w:cs="宋体"/>
                <w:kern w:val="0"/>
                <w:sz w:val="20"/>
                <w:szCs w:val="20"/>
              </w:rPr>
            </w:pPr>
          </w:p>
          <w:p>
            <w:pPr>
              <w:widowControl/>
              <w:spacing w:line="68" w:lineRule="atLeast"/>
              <w:jc w:val="center"/>
              <w:rPr>
                <w:rFonts w:ascii="仿宋_GB2312" w:hAnsi="仿宋" w:eastAsia="仿宋_GB2312" w:cs="宋体"/>
                <w:kern w:val="0"/>
                <w:sz w:val="20"/>
                <w:szCs w:val="20"/>
              </w:rPr>
            </w:pP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预算执行(27分)</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预算完成率（3分）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通过对部门本年度预算完成数与预算数的比较，反映和评价部门预算的完成程度。</w:t>
            </w:r>
          </w:p>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预算完成率=（预算完成数/预算数）×100%。</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宋体"/>
                <w:kern w:val="0"/>
                <w:sz w:val="20"/>
                <w:szCs w:val="20"/>
              </w:rPr>
              <w:t>目标值≥100%；</w:t>
            </w:r>
          </w:p>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宋体"/>
                <w:kern w:val="0"/>
                <w:sz w:val="20"/>
                <w:szCs w:val="20"/>
              </w:rPr>
              <w:t>达到目标值的得3分；</w:t>
            </w:r>
          </w:p>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宋体"/>
                <w:kern w:val="0"/>
                <w:sz w:val="20"/>
                <w:szCs w:val="20"/>
              </w:rPr>
              <w:t>100%＞结果≥90%，得3分；</w:t>
            </w:r>
          </w:p>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宋体"/>
                <w:kern w:val="0"/>
                <w:sz w:val="20"/>
                <w:szCs w:val="20"/>
              </w:rPr>
              <w:t>90%＞结果≥80%，得1分；</w:t>
            </w:r>
          </w:p>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结果＜</w:t>
            </w:r>
            <w:r>
              <w:rPr>
                <w:rFonts w:hint="eastAsia" w:ascii="仿宋_GB2312" w:hAnsi="仿宋" w:eastAsia="仿宋_GB2312" w:cs="宋体"/>
                <w:kern w:val="0"/>
                <w:sz w:val="20"/>
                <w:szCs w:val="20"/>
              </w:rPr>
              <w:t>80%得0分。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宋体" w:hAnsi="宋体" w:eastAsia="仿宋_GB2312" w:cs="Arial"/>
                <w:kern w:val="0"/>
                <w:sz w:val="20"/>
                <w:szCs w:val="20"/>
              </w:rPr>
              <w:t> </w:t>
            </w:r>
            <w:r>
              <w:rPr>
                <w:rFonts w:hint="eastAsia" w:ascii="仿宋_GB2312" w:hAnsi="宋体" w:eastAsia="仿宋_GB2312" w:cs="Arial"/>
                <w:kern w:val="0"/>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预算调整率（3分）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部门本年度预算调整数与预算数的比率，用以反映和评价部门预算的调整程度。</w:t>
            </w:r>
          </w:p>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预算调整率=（预算调整数/预算数）×100%。</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宋体"/>
                <w:kern w:val="0"/>
                <w:sz w:val="20"/>
                <w:szCs w:val="20"/>
              </w:rPr>
              <w:t>目标值为10%；达到目标值得3分，未达到目标值的每增加0.1个百分点扣0.1分，扣完为止。</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宋体" w:hAnsi="宋体" w:eastAsia="仿宋_GB2312" w:cs="Arial"/>
                <w:kern w:val="0"/>
                <w:sz w:val="20"/>
                <w:szCs w:val="20"/>
              </w:rPr>
              <w:t> </w:t>
            </w:r>
            <w:r>
              <w:rPr>
                <w:rFonts w:hint="eastAsia" w:ascii="仿宋_GB2312" w:hAnsi="宋体" w:eastAsia="仿宋_GB2312" w:cs="Arial"/>
                <w:kern w:val="0"/>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1"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color w:val="000000"/>
                <w:kern w:val="0"/>
                <w:sz w:val="20"/>
                <w:szCs w:val="20"/>
              </w:rPr>
              <w:t>支付进度率</w:t>
            </w:r>
            <w:r>
              <w:rPr>
                <w:rFonts w:hint="eastAsia" w:ascii="仿宋_GB2312" w:hAnsi="仿宋" w:eastAsia="仿宋_GB2312" w:cs="Arial"/>
                <w:kern w:val="0"/>
                <w:sz w:val="20"/>
                <w:szCs w:val="20"/>
              </w:rPr>
              <w:t>（6分）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部门年度支付数与年度预算（调整）数的比率，用以反映和评价部门预算执行的及时和均衡程度。</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宋体"/>
                <w:kern w:val="0"/>
                <w:sz w:val="20"/>
                <w:szCs w:val="20"/>
              </w:rPr>
              <w:t>半年支付进度=部门上半年实际支出÷（上年结余结转+本年部门预算安排+上半年执行中追加追减）×100%</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宋体"/>
                <w:kern w:val="0"/>
                <w:sz w:val="20"/>
                <w:szCs w:val="20"/>
              </w:rPr>
              <w:t>全年支付进度=部门全年实际支出÷（上年结余结转+本年部门预算安排+全年执行中追加追减）×100%</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半年进度：结果≥50%，得2分；50%＞结果≥40%，得1分；结果＜40%，得0分。</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宋体"/>
                <w:kern w:val="0"/>
                <w:sz w:val="20"/>
                <w:szCs w:val="20"/>
              </w:rPr>
              <w:t>全年进度：结果≥100%，得4分；100%＞结果≥95%，得3分；95%＞结果≥90%，得2分；90%＞结果≥85%，得2分；结果＜85%，得0分。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r>
              <w:rPr>
                <w:rFonts w:hint="eastAsia" w:ascii="宋体" w:hAnsi="宋体" w:eastAsia="仿宋_GB2312" w:cs="Arial"/>
                <w:kern w:val="0"/>
                <w:sz w:val="20"/>
                <w:szCs w:val="20"/>
              </w:rPr>
              <w:t> </w:t>
            </w:r>
            <w:r>
              <w:rPr>
                <w:rFonts w:hint="eastAsia" w:ascii="仿宋_GB2312" w:hAnsi="宋体" w:eastAsia="仿宋_GB2312" w:cs="Arial"/>
                <w:kern w:val="0"/>
                <w:sz w:val="20"/>
                <w:szCs w:val="2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结转结余率（3分）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通过对部门本年度结转结余总额与支出预算数的比较，反映和评价部门对本年度结转结余资金的实际控制程度。</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结转结余率=（结转结余总额/支出预算数）×100%。</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宋体"/>
                <w:kern w:val="0"/>
                <w:sz w:val="20"/>
                <w:szCs w:val="20"/>
              </w:rPr>
              <w:t>目标值为0；达到目标值得3分，未达到目标值的每增加0.1个百分点扣0.1分，扣完为止。</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宋体" w:eastAsia="仿宋_GB2312" w:cs="Arial"/>
                <w:kern w:val="0"/>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7"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结转结余变动率(3分）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部门本年度结转结余资金总额与上年度结转结余资金总额的变动比率，用以反映和考核部门对控制结转结余资金的努力程度。</w:t>
            </w:r>
          </w:p>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结转结余变动率=〔（本年度累计结转结余资金总额-上年度累计结转结余资金总额）/上年度累计结转结余资金总额〕×100%。</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宋体"/>
                <w:kern w:val="0"/>
                <w:sz w:val="20"/>
                <w:szCs w:val="20"/>
              </w:rPr>
              <w:t>目标值为≤0%；达到目标值得3分，未达到目标值的采用比率扣分法：扣分值=结转结余变动率×2×10，变动率达10%以上的扣2分。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ascii="仿宋_GB2312" w:hAnsi="宋体" w:eastAsia="仿宋_GB2312" w:cs="Arial"/>
                <w:kern w:val="0"/>
                <w:sz w:val="20"/>
                <w:szCs w:val="20"/>
              </w:rPr>
            </w:pPr>
            <w:r>
              <w:rPr>
                <w:rFonts w:hint="eastAsia" w:ascii="仿宋_GB2312" w:hAnsi="宋体" w:eastAsia="仿宋_GB2312" w:cs="Arial"/>
                <w:kern w:val="0"/>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公用经费控制率（3分）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通过对部门本年度实际支出的公用经费总额与预算安排的公用经费总额的比率，反映和评价部门对机构运转成本的实际控制程度。</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公用经费控制率=（实际支出公用经费总额/预算安排公用经费总额）×100%。</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宋体"/>
                <w:kern w:val="0"/>
                <w:sz w:val="20"/>
                <w:szCs w:val="20"/>
              </w:rPr>
              <w:t>目标值为≤100%；达到目标值得3分，未达到目标值的每增加0.1个百分点扣0.1分，扣完为止。</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r>
              <w:rPr>
                <w:rFonts w:hint="eastAsia" w:ascii="宋体" w:hAnsi="宋体" w:eastAsia="仿宋_GB2312" w:cs="Arial"/>
                <w:kern w:val="0"/>
                <w:sz w:val="20"/>
                <w:szCs w:val="20"/>
              </w:rPr>
              <w:t> </w:t>
            </w:r>
            <w:r>
              <w:rPr>
                <w:rFonts w:hint="eastAsia" w:ascii="仿宋_GB2312" w:hAnsi="宋体" w:eastAsia="仿宋_GB2312" w:cs="Arial"/>
                <w:kern w:val="0"/>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“三公经费”控制率（3分）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部门（单位）本年度“三公经费”实际支出数与预算安排数的比率，用以反映和考核部门（单位）对“三公经费”的实际控制程度。</w:t>
            </w:r>
          </w:p>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“三公经费”控制率=（“三公经费”实际支出/“三公经费”预算安排数）×100%</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宋体"/>
                <w:kern w:val="0"/>
                <w:sz w:val="20"/>
                <w:szCs w:val="20"/>
              </w:rPr>
              <w:t>目标值为≤100%；达到目标值得3分，未达到目标值的每增加0.1个百分点扣0.1分，扣完为止。</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ascii="仿宋_GB2312" w:hAnsi="宋体" w:eastAsia="仿宋_GB2312" w:cs="Arial"/>
                <w:kern w:val="0"/>
                <w:sz w:val="20"/>
                <w:szCs w:val="20"/>
              </w:rPr>
            </w:pPr>
            <w:r>
              <w:rPr>
                <w:rFonts w:hint="eastAsia" w:ascii="仿宋_GB2312" w:hAnsi="宋体" w:eastAsia="仿宋_GB2312" w:cs="Arial"/>
                <w:kern w:val="0"/>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政府采购执行率（3分）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通过对部门本年度实际政府采购预算项目个数与政府采购预算项目个数的比较，反映和评价部门政府采购预算执行情况。</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政府采购执行率=（实际政府采购预算项目个数/政府采购预算项目个数）×100%。</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政府采购项目中非预算内安排的项目除外。</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宋体"/>
                <w:kern w:val="0"/>
                <w:sz w:val="20"/>
                <w:szCs w:val="20"/>
              </w:rPr>
              <w:t>目标值为100%；以3分为上限，采用完成比率法计分：得分=政府采购执行率×3。</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r>
              <w:rPr>
                <w:rFonts w:hint="eastAsia" w:ascii="宋体" w:hAnsi="宋体" w:eastAsia="仿宋_GB2312" w:cs="Arial"/>
                <w:kern w:val="0"/>
                <w:sz w:val="20"/>
                <w:szCs w:val="20"/>
              </w:rPr>
              <w:t> </w:t>
            </w:r>
            <w:r>
              <w:rPr>
                <w:rFonts w:hint="eastAsia" w:ascii="仿宋_GB2312" w:hAnsi="宋体" w:eastAsia="仿宋_GB2312" w:cs="Arial"/>
                <w:kern w:val="0"/>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1049" w:type="dxa"/>
            <w:vMerge w:val="restart"/>
            <w:tcBorders>
              <w:top w:val="single" w:color="000000" w:sz="4" w:space="0"/>
              <w:left w:val="single" w:color="000000" w:sz="4" w:space="0"/>
              <w:right w:val="single" w:color="000000" w:sz="4" w:space="0"/>
            </w:tcBorders>
            <w:vAlign w:val="center"/>
          </w:tcPr>
          <w:p>
            <w:pPr>
              <w:widowControl/>
              <w:spacing w:line="240" w:lineRule="exact"/>
              <w:jc w:val="center"/>
              <w:rPr>
                <w:rFonts w:ascii="仿宋_GB2312" w:hAnsi="仿宋" w:eastAsia="仿宋_GB2312" w:cs="宋体"/>
                <w:kern w:val="0"/>
                <w:sz w:val="20"/>
                <w:szCs w:val="20"/>
              </w:rPr>
            </w:pPr>
            <w:r>
              <w:rPr>
                <w:rFonts w:hint="eastAsia" w:ascii="仿宋_GB2312" w:hAnsi="仿宋" w:eastAsia="仿宋_GB2312" w:cs="Arial"/>
                <w:kern w:val="0"/>
                <w:sz w:val="20"/>
                <w:szCs w:val="20"/>
              </w:rPr>
              <w:t>预算管理</w:t>
            </w:r>
          </w:p>
          <w:p>
            <w:pPr>
              <w:spacing w:line="68" w:lineRule="atLeast"/>
              <w:jc w:val="center"/>
              <w:rPr>
                <w:rFonts w:ascii="仿宋_GB2312" w:hAnsi="仿宋" w:eastAsia="仿宋_GB2312" w:cs="宋体"/>
                <w:kern w:val="0"/>
                <w:sz w:val="20"/>
                <w:szCs w:val="20"/>
              </w:rPr>
            </w:pPr>
            <w:r>
              <w:rPr>
                <w:rFonts w:hint="eastAsia" w:ascii="仿宋_GB2312" w:hAnsi="仿宋" w:eastAsia="仿宋_GB2312" w:cs="Arial"/>
                <w:kern w:val="0"/>
                <w:sz w:val="20"/>
                <w:szCs w:val="20"/>
              </w:rPr>
              <w:t>（18分）</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管理制度健全性</w:t>
            </w:r>
          </w:p>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（2分）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部门为加强预算管理，规范财务行为而制定的管理制度是否健全完整，用以反映和考核部门预算管理制度对完成主要职责或促进事业发展的保障情况。</w:t>
            </w:r>
          </w:p>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评价要点：</w:t>
            </w:r>
          </w:p>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1．是否已制定或具有预算资金管理办法、内部财务管理制度、会计核算制度等管理制度；</w:t>
            </w:r>
          </w:p>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2.相关管理制度是否合法、合规、完整；</w:t>
            </w:r>
          </w:p>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3.相关管理制度是否得到有效执行。</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全部符合（2分）；</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符合其中两项（1分）</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符合其中一项及以下（0分）。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ascii="仿宋_GB2312" w:hAnsi="宋体" w:eastAsia="仿宋_GB2312" w:cs="Arial"/>
                <w:kern w:val="0"/>
                <w:sz w:val="20"/>
                <w:szCs w:val="20"/>
              </w:rPr>
            </w:pPr>
            <w:r>
              <w:rPr>
                <w:rFonts w:hint="eastAsia" w:ascii="仿宋_GB2312" w:hAnsi="宋体" w:eastAsia="仿宋_GB2312" w:cs="Arial"/>
                <w:kern w:val="0"/>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1049" w:type="dxa"/>
            <w:vMerge w:val="continue"/>
            <w:tcBorders>
              <w:left w:val="single" w:color="000000" w:sz="4" w:space="0"/>
              <w:right w:val="single" w:color="000000" w:sz="4" w:space="0"/>
            </w:tcBorders>
            <w:vAlign w:val="center"/>
          </w:tcPr>
          <w:p>
            <w:pPr>
              <w:widowControl/>
              <w:spacing w:line="68" w:lineRule="atLeast"/>
              <w:jc w:val="left"/>
              <w:rPr>
                <w:rFonts w:ascii="仿宋_GB2312" w:hAnsi="仿宋" w:eastAsia="仿宋_GB2312" w:cs="宋体"/>
                <w:kern w:val="0"/>
                <w:sz w:val="20"/>
                <w:szCs w:val="20"/>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_GB2312" w:hAnsi="仿宋" w:eastAsia="仿宋_GB2312" w:cs="Arial"/>
                <w:kern w:val="0"/>
                <w:sz w:val="20"/>
                <w:szCs w:val="20"/>
              </w:rPr>
            </w:pPr>
            <w:r>
              <w:rPr>
                <w:rFonts w:hint="eastAsia" w:ascii="仿宋_GB2312" w:hAnsi="仿宋" w:eastAsia="仿宋_GB2312" w:cs="Arial"/>
                <w:kern w:val="0"/>
                <w:sz w:val="20"/>
                <w:szCs w:val="20"/>
              </w:rPr>
              <w:t>资金使用合规性</w:t>
            </w:r>
          </w:p>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（9分）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部门使用预算资金是否符合相关的预算财务管理制度的规定，反映和评价部门预算资金的规范运行情况。</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评价要点：</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1.符合国家财经法规和财务管理制度规定以及有关部门资金管理办法的规定；</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2.资金的拨付有完整的审批过程和手续；</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3.项目的重大开支经过评估论证；</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4.符合部门预算批复的用途；</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5.不存在截留情况；6.不存在挤占情况；</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7.不存在挪用情况；8.不存在虚列支出情况。</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全部符合（9分）；</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符合其中七项（8分）；</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符合其中六项（5分）；</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符合其中五项（3分）；</w:t>
            </w:r>
          </w:p>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符合其中四项及以下（0分）。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宋体" w:hAnsi="宋体" w:eastAsia="仿宋_GB2312" w:cs="Arial"/>
                <w:kern w:val="0"/>
                <w:sz w:val="20"/>
                <w:szCs w:val="20"/>
              </w:rPr>
              <w:t> </w:t>
            </w:r>
            <w:r>
              <w:rPr>
                <w:rFonts w:hint="eastAsia" w:ascii="仿宋_GB2312" w:hAnsi="宋体" w:eastAsia="仿宋_GB2312" w:cs="Arial"/>
                <w:kern w:val="0"/>
                <w:sz w:val="20"/>
                <w:szCs w:val="20"/>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1049" w:type="dxa"/>
            <w:vMerge w:val="continue"/>
            <w:tcBorders>
              <w:left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预决算信息公开性（3分）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部门是否按照政府信息公开有关规定公开相关预决算信息，用以反映和评价部门预决算管理的公开透明情况。</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预决算信息是指与部门预算、执行、决算、监督、绩效等管理相关的信息。</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评价要点：</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1.公开预决算信息；</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2.按规定内容公开预决算信息；</w:t>
            </w:r>
          </w:p>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3.按规定时限公开预决算信息。</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全部符合（3分）；</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符合其中两项（2分）</w:t>
            </w:r>
          </w:p>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符合其中一项及以下（0分）。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宋体" w:hAnsi="宋体" w:eastAsia="仿宋_GB2312" w:cs="Arial"/>
                <w:kern w:val="0"/>
                <w:sz w:val="20"/>
                <w:szCs w:val="20"/>
              </w:rPr>
              <w:t> </w:t>
            </w:r>
            <w:r>
              <w:rPr>
                <w:rFonts w:hint="eastAsia" w:ascii="仿宋_GB2312" w:hAnsi="宋体" w:eastAsia="仿宋_GB2312" w:cs="Arial"/>
                <w:kern w:val="0"/>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_GB2312" w:hAnsi="仿宋" w:eastAsia="仿宋_GB2312" w:cs="Arial"/>
                <w:color w:val="000000"/>
                <w:kern w:val="0"/>
                <w:sz w:val="20"/>
                <w:szCs w:val="20"/>
              </w:rPr>
            </w:pPr>
            <w:r>
              <w:rPr>
                <w:rFonts w:hint="eastAsia" w:ascii="仿宋_GB2312" w:hAnsi="仿宋" w:eastAsia="仿宋_GB2312" w:cs="Arial"/>
                <w:color w:val="000000"/>
                <w:kern w:val="0"/>
                <w:sz w:val="20"/>
                <w:szCs w:val="20"/>
              </w:rPr>
              <w:t>基础信息完善性</w:t>
            </w:r>
          </w:p>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（4分）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部门基础信息是否完善，用以反映和评价基础信息对预算管理工作的支撑情况。</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评价要点：</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1.基本财务管理制度健全；</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2.基础数据信息和会计信息资料真实；</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3.基础数据信息和会计信息资料完整；</w:t>
            </w:r>
          </w:p>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4.基础数据信息和会计信息资料准确。</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符合全部四项（4分）；</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符合其中三项（2分）；</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符合其中两项（1分）；</w:t>
            </w:r>
          </w:p>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符合其中一项及以下（0分）。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宋体" w:hAnsi="宋体" w:eastAsia="仿宋_GB2312" w:cs="Arial"/>
                <w:kern w:val="0"/>
                <w:sz w:val="20"/>
                <w:szCs w:val="20"/>
              </w:rPr>
              <w:t> </w:t>
            </w:r>
            <w:r>
              <w:rPr>
                <w:rFonts w:hint="eastAsia" w:ascii="仿宋_GB2312" w:hAnsi="宋体" w:eastAsia="仿宋_GB2312" w:cs="Arial"/>
                <w:kern w:val="0"/>
                <w:sz w:val="20"/>
                <w:szCs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1049" w:type="dxa"/>
            <w:vMerge w:val="restart"/>
            <w:tcBorders>
              <w:left w:val="single" w:color="000000" w:sz="4" w:space="0"/>
              <w:right w:val="single" w:color="000000" w:sz="4" w:space="0"/>
            </w:tcBorders>
            <w:vAlign w:val="center"/>
          </w:tcPr>
          <w:p>
            <w:pPr>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资产管理（8分）</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_GB2312" w:hAnsi="仿宋" w:eastAsia="仿宋_GB2312" w:cs="Arial"/>
                <w:color w:val="000000"/>
                <w:kern w:val="0"/>
                <w:sz w:val="20"/>
                <w:szCs w:val="20"/>
              </w:rPr>
            </w:pPr>
            <w:r>
              <w:rPr>
                <w:rFonts w:hint="eastAsia" w:ascii="仿宋_GB2312" w:hAnsi="仿宋" w:eastAsia="仿宋_GB2312" w:cs="Arial"/>
                <w:color w:val="000000"/>
                <w:kern w:val="0"/>
                <w:sz w:val="20"/>
                <w:szCs w:val="20"/>
              </w:rPr>
              <w:t>管理制度健全性</w:t>
            </w:r>
          </w:p>
          <w:p>
            <w:pPr>
              <w:widowControl/>
              <w:spacing w:line="68" w:lineRule="atLeast"/>
              <w:jc w:val="left"/>
              <w:rPr>
                <w:rFonts w:ascii="仿宋_GB2312" w:hAnsi="仿宋" w:eastAsia="仿宋_GB2312" w:cs="Arial"/>
                <w:color w:val="000000"/>
                <w:kern w:val="0"/>
                <w:sz w:val="20"/>
                <w:szCs w:val="20"/>
              </w:rPr>
            </w:pPr>
            <w:r>
              <w:rPr>
                <w:rFonts w:hint="eastAsia" w:ascii="仿宋_GB2312" w:hAnsi="仿宋" w:eastAsia="仿宋_GB2312" w:cs="Arial"/>
                <w:color w:val="000000"/>
                <w:kern w:val="0"/>
                <w:sz w:val="20"/>
                <w:szCs w:val="20"/>
              </w:rPr>
              <w:t>（2分）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部门为加强资产管理、规范资产管理行为而制定的管理制度是否健全完整，用以反映和考核部门资产管理制度对完成主要职责或促进社会发展的保障情况。</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评价要点：</w:t>
            </w:r>
          </w:p>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1.是否已制定或具有资产管理制度；</w:t>
            </w:r>
          </w:p>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2.相关资金管理制度是否合法、合规、完整；</w:t>
            </w:r>
          </w:p>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3.相关资产管理制度是否得到有效执行。</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全部符合（2分）；</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符合其中两项（1分）</w:t>
            </w:r>
          </w:p>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符合其中一项及以下（0分）。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仿宋_GB2312" w:hAnsi="宋体" w:eastAsia="仿宋_GB2312" w:cs="Arial"/>
                <w:kern w:val="0"/>
                <w:sz w:val="20"/>
                <w:szCs w:val="20"/>
              </w:rPr>
            </w:pPr>
            <w:r>
              <w:rPr>
                <w:rFonts w:hint="eastAsia" w:ascii="仿宋_GB2312" w:hAnsi="宋体" w:eastAsia="仿宋_GB2312" w:cs="Arial"/>
                <w:kern w:val="0"/>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1049" w:type="dxa"/>
            <w:vMerge w:val="continue"/>
            <w:tcBorders>
              <w:left w:val="single" w:color="000000" w:sz="4" w:space="0"/>
              <w:right w:val="single" w:color="000000" w:sz="4" w:space="0"/>
            </w:tcBorders>
            <w:vAlign w:val="center"/>
          </w:tcPr>
          <w:p>
            <w:pPr>
              <w:widowControl/>
              <w:spacing w:line="68" w:lineRule="atLeast"/>
              <w:jc w:val="left"/>
              <w:rPr>
                <w:rFonts w:ascii="仿宋_GB2312" w:hAnsi="仿宋" w:eastAsia="仿宋_GB2312" w:cs="宋体"/>
                <w:kern w:val="0"/>
                <w:sz w:val="20"/>
                <w:szCs w:val="20"/>
              </w:rPr>
            </w:pP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_GB2312" w:hAnsi="仿宋" w:eastAsia="仿宋_GB2312" w:cs="Arial"/>
                <w:kern w:val="0"/>
                <w:sz w:val="20"/>
                <w:szCs w:val="20"/>
              </w:rPr>
            </w:pPr>
            <w:r>
              <w:rPr>
                <w:rFonts w:hint="eastAsia" w:ascii="仿宋_GB2312" w:hAnsi="仿宋" w:eastAsia="仿宋_GB2312" w:cs="Arial"/>
                <w:kern w:val="0"/>
                <w:sz w:val="20"/>
                <w:szCs w:val="20"/>
              </w:rPr>
              <w:t>资产管理完全性</w:t>
            </w:r>
          </w:p>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（3分）</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部门的资产是否保存完整、使用合规、收入及时足额上缴，用以反映和评价部门资产运行情况。</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评价要点：</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1.资产保存完整；</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2.资产账务管理是否合规，帐实相符；</w:t>
            </w:r>
          </w:p>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3.资产有偿使用及处置收入及时足额上缴。</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符合全部三项（3分）；</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符合其中两项（2分）；</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符合其中一项（1分）；</w:t>
            </w:r>
          </w:p>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符合零项（0分）。</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宋体" w:hAnsi="宋体" w:eastAsia="仿宋_GB2312" w:cs="Arial"/>
                <w:kern w:val="0"/>
                <w:sz w:val="20"/>
                <w:szCs w:val="20"/>
              </w:rPr>
              <w:t> </w:t>
            </w:r>
            <w:r>
              <w:rPr>
                <w:rFonts w:hint="eastAsia" w:ascii="仿宋_GB2312" w:hAnsi="宋体" w:eastAsia="仿宋_GB2312" w:cs="Arial"/>
                <w:kern w:val="0"/>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_GB2312" w:hAnsi="仿宋" w:eastAsia="仿宋_GB2312" w:cs="Arial"/>
                <w:kern w:val="0"/>
                <w:sz w:val="20"/>
                <w:szCs w:val="20"/>
              </w:rPr>
            </w:pPr>
            <w:r>
              <w:rPr>
                <w:rFonts w:hint="eastAsia" w:ascii="仿宋_GB2312" w:hAnsi="仿宋" w:eastAsia="仿宋_GB2312" w:cs="Arial"/>
                <w:kern w:val="0"/>
                <w:sz w:val="20"/>
                <w:szCs w:val="20"/>
              </w:rPr>
              <w:t>固定资产利用率</w:t>
            </w:r>
          </w:p>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（3分）</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部门实际在用固定资产总额与所有固定资产总额的比率，用以反映和评价部门固定资产使用效率。</w:t>
            </w:r>
          </w:p>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固定资产利用率=（实际在用固定资产总额/所有固定资产总额）×100%。</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宋体"/>
                <w:kern w:val="0"/>
                <w:sz w:val="20"/>
                <w:szCs w:val="20"/>
              </w:rPr>
              <w:t>目标值为80%；以3分为上限，采用完成比率法计分：得分=固定资产利用率/80%×100%×3，超出目标值不加分。</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宋体" w:hAnsi="宋体" w:eastAsia="仿宋_GB2312" w:cs="Arial"/>
                <w:kern w:val="0"/>
                <w:sz w:val="20"/>
                <w:szCs w:val="20"/>
              </w:rPr>
              <w:t> </w:t>
            </w:r>
            <w:r>
              <w:rPr>
                <w:rFonts w:hint="eastAsia" w:ascii="仿宋_GB2312" w:hAnsi="宋体" w:eastAsia="仿宋_GB2312" w:cs="Arial"/>
                <w:kern w:val="0"/>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1049" w:type="dxa"/>
            <w:tcBorders>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r>
              <w:rPr>
                <w:rFonts w:hint="eastAsia" w:ascii="仿宋_GB2312" w:hAnsi="仿宋" w:eastAsia="仿宋_GB2312" w:cs="宋体"/>
                <w:kern w:val="0"/>
                <w:sz w:val="20"/>
                <w:szCs w:val="20"/>
              </w:rPr>
              <w:t>预算绩效监控管理（2分）</w:t>
            </w: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_GB2312" w:hAnsi="仿宋" w:eastAsia="仿宋_GB2312" w:cs="Arial"/>
                <w:kern w:val="0"/>
                <w:sz w:val="20"/>
                <w:szCs w:val="20"/>
              </w:rPr>
            </w:pPr>
            <w:r>
              <w:rPr>
                <w:rFonts w:hint="eastAsia" w:ascii="仿宋_GB2312" w:hAnsi="仿宋" w:eastAsia="仿宋_GB2312" w:cs="Arial"/>
                <w:kern w:val="0"/>
                <w:sz w:val="20"/>
                <w:szCs w:val="20"/>
              </w:rPr>
              <w:t>监控率</w:t>
            </w:r>
            <w:r>
              <w:rPr>
                <w:rFonts w:hint="eastAsia" w:ascii="仿宋_GB2312" w:hAnsi="仿宋" w:eastAsia="仿宋_GB2312" w:cs="宋体"/>
                <w:kern w:val="0"/>
                <w:sz w:val="20"/>
                <w:szCs w:val="20"/>
              </w:rPr>
              <w:t>（2分）</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部门（单位）纳入绩效监控的项目数量占实际申报绩效目标项目数量的比重，用以反映和考核部门（单位）在项目运行中实施绩效管理的水平和程度。</w:t>
            </w:r>
          </w:p>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监控率=实施绩效监控项目数/实际申报绩效目标项目数×100%</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宋体"/>
                <w:kern w:val="0"/>
                <w:sz w:val="20"/>
                <w:szCs w:val="20"/>
              </w:rPr>
              <w:t>目标值为90%；以2分为上限，采用完成比率法计分：得分=监控率×2，超出目标值不加分。</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ascii="仿宋_GB2312" w:hAnsi="宋体" w:eastAsia="仿宋_GB2312" w:cs="Arial"/>
                <w:kern w:val="0"/>
                <w:sz w:val="20"/>
                <w:szCs w:val="20"/>
              </w:rPr>
            </w:pPr>
            <w:r>
              <w:rPr>
                <w:rFonts w:hint="eastAsia" w:ascii="仿宋_GB2312" w:hAnsi="宋体" w:eastAsia="仿宋_GB2312" w:cs="Arial"/>
                <w:kern w:val="0"/>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r>
              <w:rPr>
                <w:rFonts w:hint="eastAsia" w:ascii="仿宋_GB2312" w:hAnsi="仿宋" w:eastAsia="仿宋_GB2312" w:cs="Arial"/>
                <w:kern w:val="0"/>
                <w:sz w:val="20"/>
                <w:szCs w:val="20"/>
              </w:rPr>
              <w:t>产出(15分)</w:t>
            </w: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tc>
        <w:tc>
          <w:tcPr>
            <w:tcW w:w="1049"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职责履行（15分）</w:t>
            </w: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项目实际完成率（4分）</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部门履行职责而实际完成的项目数与计划完成的项目数的比率，用以反映和评价部门履职任务目标的实现程度。</w:t>
            </w:r>
          </w:p>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项目实际完成率=（实际完成项目数/计划完成项目数）×100%。</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宋体"/>
                <w:kern w:val="0"/>
                <w:sz w:val="20"/>
                <w:szCs w:val="20"/>
              </w:rPr>
              <w:t>目标值为100%；</w:t>
            </w:r>
          </w:p>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宋体"/>
                <w:kern w:val="0"/>
                <w:sz w:val="20"/>
                <w:szCs w:val="20"/>
              </w:rPr>
              <w:t>达到目标值得4分；</w:t>
            </w:r>
          </w:p>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宋体"/>
                <w:kern w:val="0"/>
                <w:sz w:val="20"/>
                <w:szCs w:val="20"/>
              </w:rPr>
              <w:t>100%＞结果≥95%，得3分；</w:t>
            </w:r>
          </w:p>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宋体"/>
                <w:kern w:val="0"/>
                <w:sz w:val="20"/>
                <w:szCs w:val="20"/>
              </w:rPr>
              <w:t>95%＞结果≥90%，得2分；</w:t>
            </w:r>
          </w:p>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宋体"/>
                <w:kern w:val="0"/>
                <w:sz w:val="20"/>
                <w:szCs w:val="20"/>
              </w:rPr>
              <w:t>90%＞结果≥85%，得1分；</w:t>
            </w:r>
          </w:p>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结果＜</w:t>
            </w:r>
            <w:r>
              <w:rPr>
                <w:rFonts w:hint="eastAsia" w:ascii="仿宋_GB2312" w:hAnsi="仿宋" w:eastAsia="仿宋_GB2312" w:cs="宋体"/>
                <w:kern w:val="0"/>
                <w:sz w:val="20"/>
                <w:szCs w:val="20"/>
              </w:rPr>
              <w:t>85%得0分。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仿宋_GB2312" w:hAnsi="宋体" w:eastAsia="仿宋_GB2312" w:cs="宋体"/>
                <w:kern w:val="0"/>
                <w:sz w:val="20"/>
                <w:szCs w:val="20"/>
              </w:rPr>
              <w:t>3</w:t>
            </w:r>
            <w:r>
              <w:rPr>
                <w:rFonts w:hint="eastAsia" w:ascii="宋体" w:hAnsi="宋体" w:eastAsia="仿宋_GB2312" w:cs="宋体"/>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1049" w:type="dxa"/>
            <w:vMerge w:val="continue"/>
            <w:tcBorders>
              <w:left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项目质量达标率（4分）</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部门已完成项目中质量达标项目个数占已完成项目个数的比率,用以反映和评价部门履职质量目标的实现程度。</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项目质量达标率=（已完成项目中质量达标项目个数/已完成项目个数）×100%。</w:t>
            </w:r>
          </w:p>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项目质量达标是指项目决算验收合格。</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宋体"/>
                <w:kern w:val="0"/>
                <w:sz w:val="20"/>
                <w:szCs w:val="20"/>
              </w:rPr>
              <w:t>目标值100%；以4分为上限，采用完成比率法计分：得分=项目质量达标率×4，</w:t>
            </w:r>
            <w:r>
              <w:rPr>
                <w:rFonts w:hint="eastAsia" w:ascii="仿宋_GB2312" w:hAnsi="仿宋" w:eastAsia="仿宋_GB2312" w:cs="Arial"/>
                <w:kern w:val="0"/>
                <w:sz w:val="20"/>
                <w:szCs w:val="20"/>
              </w:rPr>
              <w:t>≤</w:t>
            </w:r>
            <w:r>
              <w:rPr>
                <w:rFonts w:hint="eastAsia" w:ascii="仿宋_GB2312" w:hAnsi="仿宋" w:eastAsia="仿宋_GB2312" w:cs="宋体"/>
                <w:kern w:val="0"/>
                <w:sz w:val="20"/>
                <w:szCs w:val="20"/>
              </w:rPr>
              <w:t>95%的扣4分。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宋体" w:hAnsi="宋体" w:eastAsia="仿宋_GB2312" w:cs="宋体"/>
                <w:kern w:val="0"/>
                <w:sz w:val="20"/>
                <w:szCs w:val="20"/>
              </w:rPr>
              <w:t> </w:t>
            </w:r>
            <w:r>
              <w:rPr>
                <w:rFonts w:hint="eastAsia" w:ascii="仿宋_GB2312" w:hAnsi="宋体" w:eastAsia="仿宋_GB2312" w:cs="宋体"/>
                <w:kern w:val="0"/>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1049" w:type="dxa"/>
            <w:vMerge w:val="continue"/>
            <w:tcBorders>
              <w:left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重点工作办结率（4分）</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_GB2312" w:hAnsi="仿宋" w:eastAsia="仿宋_GB2312" w:cs="Arial"/>
                <w:kern w:val="0"/>
                <w:sz w:val="20"/>
                <w:szCs w:val="20"/>
              </w:rPr>
            </w:pPr>
            <w:r>
              <w:rPr>
                <w:rFonts w:hint="eastAsia" w:ascii="仿宋_GB2312" w:hAnsi="仿宋" w:eastAsia="仿宋_GB2312" w:cs="Arial"/>
                <w:kern w:val="0"/>
                <w:sz w:val="20"/>
                <w:szCs w:val="20"/>
              </w:rPr>
              <w:t>部门年度重点工作实际完成数与交办或下达数的比率，用以反映部门对重点工作的办理落实程度。</w:t>
            </w:r>
          </w:p>
          <w:p>
            <w:pPr>
              <w:widowControl/>
              <w:spacing w:line="68" w:lineRule="atLeast"/>
              <w:jc w:val="left"/>
              <w:rPr>
                <w:rFonts w:ascii="仿宋_GB2312" w:hAnsi="仿宋" w:eastAsia="仿宋_GB2312" w:cs="Arial"/>
                <w:kern w:val="0"/>
                <w:sz w:val="20"/>
                <w:szCs w:val="20"/>
              </w:rPr>
            </w:pPr>
            <w:r>
              <w:rPr>
                <w:rFonts w:hint="eastAsia" w:ascii="仿宋_GB2312" w:hAnsi="仿宋" w:eastAsia="仿宋_GB2312" w:cs="Arial"/>
                <w:kern w:val="0"/>
                <w:sz w:val="20"/>
                <w:szCs w:val="20"/>
              </w:rPr>
              <w:t>重点工作办结率=（重点工作实际完成数/交办或下达数）×100%。</w:t>
            </w:r>
          </w:p>
          <w:p>
            <w:pPr>
              <w:widowControl/>
              <w:spacing w:line="68" w:lineRule="atLeast"/>
              <w:jc w:val="left"/>
              <w:rPr>
                <w:rFonts w:ascii="仿宋_GB2312" w:hAnsi="仿宋" w:eastAsia="仿宋_GB2312" w:cs="Arial"/>
                <w:kern w:val="0"/>
                <w:sz w:val="20"/>
                <w:szCs w:val="20"/>
              </w:rPr>
            </w:pPr>
            <w:r>
              <w:rPr>
                <w:rFonts w:hint="eastAsia" w:ascii="仿宋_GB2312" w:hAnsi="仿宋" w:eastAsia="仿宋_GB2312" w:cs="Arial"/>
                <w:kern w:val="0"/>
                <w:sz w:val="20"/>
                <w:szCs w:val="20"/>
              </w:rPr>
              <w:t>重点工作是指党委、政府、人大、相关部门交办或下达的工作任务。</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宋体"/>
                <w:kern w:val="0"/>
                <w:sz w:val="20"/>
                <w:szCs w:val="20"/>
              </w:rPr>
              <w:t>目标值100%；以4分为上限，采用完成比率法计分：得分=重点工作办结率×4，</w:t>
            </w:r>
            <w:r>
              <w:rPr>
                <w:rFonts w:hint="eastAsia" w:ascii="仿宋_GB2312" w:hAnsi="仿宋" w:eastAsia="仿宋_GB2312" w:cs="Arial"/>
                <w:kern w:val="0"/>
                <w:sz w:val="20"/>
                <w:szCs w:val="20"/>
              </w:rPr>
              <w:t>≤</w:t>
            </w:r>
            <w:r>
              <w:rPr>
                <w:rFonts w:hint="eastAsia" w:ascii="仿宋_GB2312" w:hAnsi="仿宋" w:eastAsia="仿宋_GB2312" w:cs="宋体"/>
                <w:kern w:val="0"/>
                <w:sz w:val="20"/>
                <w:szCs w:val="20"/>
              </w:rPr>
              <w:t>90%的扣4分。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宋体" w:hAnsi="宋体" w:eastAsia="仿宋_GB2312" w:cs="宋体"/>
                <w:kern w:val="0"/>
                <w:sz w:val="20"/>
                <w:szCs w:val="20"/>
              </w:rPr>
              <w:t> </w:t>
            </w:r>
            <w:r>
              <w:rPr>
                <w:rFonts w:hint="eastAsia" w:ascii="仿宋_GB2312" w:hAnsi="宋体" w:eastAsia="仿宋_GB2312" w:cs="宋体"/>
                <w:kern w:val="0"/>
                <w:sz w:val="20"/>
                <w:szCs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4" w:hRule="atLeast"/>
          <w:jc w:val="center"/>
        </w:trPr>
        <w:tc>
          <w:tcPr>
            <w:tcW w:w="769" w:type="dxa"/>
            <w:vMerge w:val="continue"/>
            <w:tcBorders>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部门绩效自评项目占比率（3分）</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部门自评项目在所有项目中所占的份额，反映和评价部门对项目自评的重视程度。</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占比率=(自评项目资金量/项目支出资金量)×100%。</w:t>
            </w:r>
          </w:p>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部门支出项目绩效自评范围：本年度列入本级财政预算安排的项目。</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达到目标值得3分，未达到目标值</w:t>
            </w:r>
            <w:r>
              <w:rPr>
                <w:rFonts w:hint="eastAsia" w:ascii="仿宋_GB2312" w:hAnsi="仿宋" w:eastAsia="仿宋_GB2312" w:cs="宋体"/>
                <w:kern w:val="0"/>
                <w:sz w:val="20"/>
                <w:szCs w:val="20"/>
              </w:rPr>
              <w:t>采用完成比率法计分：</w:t>
            </w:r>
            <w:r>
              <w:rPr>
                <w:rFonts w:hint="eastAsia" w:ascii="仿宋_GB2312" w:hAnsi="仿宋" w:eastAsia="仿宋_GB2312" w:cs="Arial"/>
                <w:kern w:val="0"/>
                <w:sz w:val="20"/>
                <w:szCs w:val="20"/>
              </w:rPr>
              <w:t>得分=占比率/目标值×3，超过目标值不加分。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3" w:hRule="atLeast"/>
          <w:jc w:val="center"/>
        </w:trPr>
        <w:tc>
          <w:tcPr>
            <w:tcW w:w="769"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r>
              <w:rPr>
                <w:rFonts w:hint="eastAsia" w:ascii="仿宋_GB2312" w:hAnsi="仿宋" w:eastAsia="仿宋_GB2312" w:cs="Arial"/>
                <w:kern w:val="0"/>
                <w:sz w:val="20"/>
                <w:szCs w:val="20"/>
              </w:rPr>
              <w:t>效果（15）</w:t>
            </w: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Arial"/>
                <w:kern w:val="0"/>
                <w:sz w:val="20"/>
                <w:szCs w:val="20"/>
              </w:rPr>
            </w:pPr>
          </w:p>
          <w:p>
            <w:pPr>
              <w:widowControl/>
              <w:spacing w:line="68" w:lineRule="atLeast"/>
              <w:jc w:val="left"/>
              <w:rPr>
                <w:rFonts w:ascii="仿宋_GB2312" w:hAnsi="仿宋" w:eastAsia="仿宋_GB2312" w:cs="宋体"/>
                <w:kern w:val="0"/>
                <w:sz w:val="20"/>
                <w:szCs w:val="20"/>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_GB2312" w:hAnsi="仿宋" w:eastAsia="仿宋_GB2312" w:cs="Arial"/>
                <w:kern w:val="0"/>
                <w:sz w:val="20"/>
                <w:szCs w:val="20"/>
              </w:rPr>
            </w:pPr>
            <w:r>
              <w:rPr>
                <w:rFonts w:hint="eastAsia" w:ascii="仿宋_GB2312" w:hAnsi="仿宋" w:eastAsia="仿宋_GB2312" w:cs="Arial"/>
                <w:kern w:val="0"/>
                <w:sz w:val="20"/>
                <w:szCs w:val="20"/>
              </w:rPr>
              <w:t>监督发现问题</w:t>
            </w:r>
          </w:p>
          <w:p>
            <w:pPr>
              <w:widowControl/>
              <w:spacing w:line="68" w:lineRule="atLeast"/>
              <w:jc w:val="left"/>
              <w:rPr>
                <w:rFonts w:ascii="仿宋_GB2312" w:hAnsi="仿宋" w:eastAsia="仿宋_GB2312" w:cs="Arial"/>
                <w:kern w:val="0"/>
                <w:sz w:val="20"/>
                <w:szCs w:val="20"/>
              </w:rPr>
            </w:pPr>
            <w:r>
              <w:rPr>
                <w:rFonts w:hint="eastAsia" w:ascii="仿宋_GB2312" w:hAnsi="仿宋" w:eastAsia="仿宋_GB2312" w:cs="Arial"/>
                <w:kern w:val="0"/>
                <w:sz w:val="20"/>
                <w:szCs w:val="20"/>
              </w:rPr>
              <w:t>（2分）</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_GB2312" w:hAnsi="仿宋" w:eastAsia="仿宋_GB2312" w:cs="Arial"/>
                <w:kern w:val="0"/>
                <w:sz w:val="20"/>
                <w:szCs w:val="20"/>
              </w:rPr>
            </w:pPr>
            <w:r>
              <w:rPr>
                <w:rFonts w:hint="eastAsia" w:ascii="仿宋_GB2312" w:hAnsi="仿宋" w:eastAsia="仿宋_GB2312" w:cs="Arial"/>
                <w:kern w:val="0"/>
                <w:sz w:val="20"/>
                <w:szCs w:val="20"/>
              </w:rPr>
              <w:t>违规率（2分）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_GB2312" w:hAnsi="仿宋" w:eastAsia="仿宋_GB2312" w:cs="Arial"/>
                <w:kern w:val="0"/>
                <w:sz w:val="20"/>
                <w:szCs w:val="20"/>
              </w:rPr>
            </w:pPr>
            <w:r>
              <w:rPr>
                <w:rFonts w:hint="eastAsia" w:ascii="仿宋_GB2312" w:hAnsi="仿宋" w:eastAsia="仿宋_GB2312" w:cs="Arial"/>
                <w:kern w:val="0"/>
                <w:sz w:val="20"/>
                <w:szCs w:val="20"/>
              </w:rPr>
              <w:t>部门存在违规问题的资金数量占部门预算支出资金总额的比重，用以反映和考核部门预算资金管理使用的合法、合规情况。</w:t>
            </w:r>
          </w:p>
          <w:p>
            <w:pPr>
              <w:widowControl/>
              <w:spacing w:line="68" w:lineRule="atLeast"/>
              <w:jc w:val="left"/>
              <w:rPr>
                <w:rFonts w:ascii="仿宋_GB2312" w:hAnsi="仿宋" w:eastAsia="仿宋_GB2312" w:cs="Arial"/>
                <w:kern w:val="0"/>
                <w:sz w:val="20"/>
                <w:szCs w:val="20"/>
              </w:rPr>
            </w:pPr>
            <w:r>
              <w:rPr>
                <w:rFonts w:hint="eastAsia" w:ascii="仿宋_GB2312" w:hAnsi="仿宋" w:eastAsia="仿宋_GB2312" w:cs="Arial"/>
                <w:kern w:val="0"/>
                <w:sz w:val="20"/>
                <w:szCs w:val="20"/>
              </w:rPr>
              <w:t>违规率=存在违规问题的资金额/部门预算支出资金总额×100%</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宋体"/>
                <w:kern w:val="0"/>
                <w:sz w:val="20"/>
                <w:szCs w:val="20"/>
              </w:rPr>
              <w:t>目标值0，</w:t>
            </w:r>
            <w:r>
              <w:rPr>
                <w:rFonts w:hint="eastAsia" w:ascii="仿宋_GB2312" w:hAnsi="仿宋" w:eastAsia="仿宋_GB2312" w:cs="Arial"/>
                <w:kern w:val="0"/>
                <w:sz w:val="20"/>
                <w:szCs w:val="20"/>
              </w:rPr>
              <w:t>达到目标值得2分，未达到目标值的每增加0.1个百分点扣0.1分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宋体" w:hAnsi="宋体" w:eastAsia="仿宋_GB2312" w:cs="宋体"/>
                <w:kern w:val="0"/>
                <w:sz w:val="20"/>
                <w:szCs w:val="20"/>
              </w:rPr>
              <w:t> </w:t>
            </w:r>
            <w:r>
              <w:rPr>
                <w:rFonts w:hint="eastAsia" w:ascii="仿宋_GB2312" w:hAnsi="宋体" w:eastAsia="仿宋_GB2312" w:cs="宋体"/>
                <w:kern w:val="0"/>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5" w:hRule="atLeast"/>
          <w:jc w:val="center"/>
        </w:trPr>
        <w:tc>
          <w:tcPr>
            <w:tcW w:w="769" w:type="dxa"/>
            <w:vMerge w:val="continue"/>
            <w:tcBorders>
              <w:left w:val="single" w:color="000000" w:sz="4" w:space="0"/>
              <w:right w:val="single" w:color="000000" w:sz="4" w:space="0"/>
            </w:tcBorders>
            <w:vAlign w:val="center"/>
          </w:tcPr>
          <w:p>
            <w:pPr>
              <w:widowControl/>
              <w:spacing w:line="68" w:lineRule="atLeast"/>
              <w:jc w:val="left"/>
              <w:rPr>
                <w:rFonts w:ascii="仿宋_GB2312" w:hAnsi="仿宋" w:eastAsia="仿宋_GB2312" w:cs="Arial"/>
                <w:kern w:val="0"/>
                <w:sz w:val="20"/>
                <w:szCs w:val="20"/>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工作成效（5）</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宋体"/>
                <w:bCs/>
                <w:color w:val="000000"/>
                <w:kern w:val="0"/>
                <w:sz w:val="20"/>
                <w:szCs w:val="20"/>
              </w:rPr>
              <w:t>部门预算绩效管理考核评价</w:t>
            </w:r>
            <w:r>
              <w:rPr>
                <w:rFonts w:hint="eastAsia" w:ascii="仿宋_GB2312" w:hAnsi="仿宋" w:eastAsia="仿宋_GB2312" w:cs="Arial"/>
                <w:bCs/>
                <w:kern w:val="0"/>
                <w:sz w:val="20"/>
                <w:szCs w:val="20"/>
              </w:rPr>
              <w:t>（5）</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宋体"/>
                <w:color w:val="000000"/>
                <w:kern w:val="0"/>
                <w:sz w:val="20"/>
                <w:szCs w:val="20"/>
              </w:rPr>
              <w:t>财政部门对部门开展预算绩效管理工作的评价结果，用以反映部门对预算绩效管理工作的重视程度和取得的成效。</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宋体"/>
                <w:color w:val="000000"/>
                <w:kern w:val="0"/>
                <w:sz w:val="20"/>
                <w:szCs w:val="20"/>
              </w:rPr>
              <w:t>1.财政部门对部门绩效管理工作开展情况进行核查评价，包括绩效目标管理、绩效执行监控、绩效自评和评价结果应用等情况，按百分制。</w:t>
            </w:r>
          </w:p>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宋体"/>
                <w:color w:val="000000"/>
                <w:kern w:val="0"/>
                <w:sz w:val="20"/>
                <w:szCs w:val="20"/>
              </w:rPr>
              <w:t>2.以部门为单位进行综合计算，得出各部门绩效管理工作评价结果。</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宋体"/>
                <w:color w:val="000000"/>
                <w:kern w:val="0"/>
                <w:sz w:val="20"/>
                <w:szCs w:val="20"/>
              </w:rPr>
              <w:t>综合得分=（部门绩效管理工作评价结果/100）*5分</w:t>
            </w:r>
          </w:p>
          <w:p>
            <w:pPr>
              <w:widowControl/>
              <w:spacing w:line="68" w:lineRule="atLeast"/>
              <w:jc w:val="left"/>
              <w:rPr>
                <w:rFonts w:ascii="仿宋_GB2312" w:hAnsi="仿宋" w:eastAsia="仿宋_GB2312" w:cs="宋体"/>
                <w:kern w:val="0"/>
                <w:sz w:val="20"/>
                <w:szCs w:val="20"/>
              </w:rPr>
            </w:pPr>
            <w:r>
              <w:rPr>
                <w:rFonts w:hint="eastAsia" w:ascii="宋体" w:hAnsi="宋体" w:eastAsia="仿宋_GB2312" w:cs="宋体"/>
                <w:kern w:val="0"/>
                <w:sz w:val="20"/>
                <w:szCs w:val="20"/>
              </w:rPr>
              <w:t> </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_GB2312" w:hAnsi="仿宋" w:eastAsia="仿宋_GB2312" w:cs="Arial"/>
                <w:kern w:val="0"/>
                <w:sz w:val="20"/>
                <w:szCs w:val="20"/>
              </w:rPr>
            </w:pPr>
            <w:r>
              <w:rPr>
                <w:rFonts w:hint="eastAsia" w:ascii="仿宋_GB2312" w:hAnsi="仿宋" w:eastAsia="仿宋_GB2312" w:cs="Arial"/>
                <w:kern w:val="0"/>
                <w:sz w:val="20"/>
                <w:szCs w:val="20"/>
              </w:rPr>
              <w:t>评价结果应用</w:t>
            </w:r>
          </w:p>
          <w:p>
            <w:pPr>
              <w:widowControl/>
              <w:spacing w:line="68" w:lineRule="atLeast"/>
              <w:jc w:val="left"/>
              <w:rPr>
                <w:rFonts w:ascii="仿宋_GB2312" w:hAnsi="仿宋" w:eastAsia="仿宋_GB2312" w:cs="Arial"/>
                <w:kern w:val="0"/>
                <w:sz w:val="20"/>
                <w:szCs w:val="20"/>
              </w:rPr>
            </w:pPr>
            <w:r>
              <w:rPr>
                <w:rFonts w:hint="eastAsia" w:ascii="仿宋_GB2312" w:hAnsi="仿宋" w:eastAsia="仿宋_GB2312" w:cs="Arial"/>
                <w:kern w:val="0"/>
                <w:sz w:val="20"/>
                <w:szCs w:val="20"/>
              </w:rPr>
              <w:t>（2分）</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_GB2312" w:hAnsi="仿宋" w:eastAsia="仿宋_GB2312" w:cs="Arial"/>
                <w:kern w:val="0"/>
                <w:sz w:val="20"/>
                <w:szCs w:val="20"/>
              </w:rPr>
            </w:pPr>
            <w:r>
              <w:rPr>
                <w:rFonts w:hint="eastAsia" w:ascii="仿宋_GB2312" w:hAnsi="仿宋" w:eastAsia="仿宋_GB2312" w:cs="Arial"/>
                <w:kern w:val="0"/>
                <w:sz w:val="20"/>
                <w:szCs w:val="20"/>
              </w:rPr>
              <w:t>应用率（2分）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_GB2312" w:hAnsi="仿宋" w:eastAsia="仿宋_GB2312" w:cs="Arial"/>
                <w:kern w:val="0"/>
                <w:sz w:val="20"/>
                <w:szCs w:val="20"/>
              </w:rPr>
            </w:pPr>
            <w:r>
              <w:rPr>
                <w:rFonts w:hint="eastAsia" w:ascii="仿宋_GB2312" w:hAnsi="仿宋" w:eastAsia="仿宋_GB2312" w:cs="Arial"/>
                <w:kern w:val="0"/>
                <w:sz w:val="20"/>
                <w:szCs w:val="20"/>
              </w:rPr>
              <w:t>部门应用绩效评价结果的项目数占绩效评价项目数的比重，用以反映和考核部门绩效评价结果的利用水平和程度。</w:t>
            </w:r>
          </w:p>
          <w:p>
            <w:pPr>
              <w:widowControl/>
              <w:spacing w:line="68" w:lineRule="atLeast"/>
              <w:jc w:val="left"/>
              <w:rPr>
                <w:rFonts w:ascii="仿宋_GB2312" w:hAnsi="仿宋" w:eastAsia="仿宋_GB2312" w:cs="Arial"/>
                <w:kern w:val="0"/>
                <w:sz w:val="20"/>
                <w:szCs w:val="20"/>
              </w:rPr>
            </w:pPr>
            <w:r>
              <w:rPr>
                <w:rFonts w:hint="eastAsia" w:ascii="仿宋_GB2312" w:hAnsi="仿宋" w:eastAsia="仿宋_GB2312" w:cs="Arial"/>
                <w:kern w:val="0"/>
                <w:sz w:val="20"/>
                <w:szCs w:val="20"/>
              </w:rPr>
              <w:t>应用率=应用绩效评价结果的项目数量/部门实施绩效评价项目数量×100%。</w:t>
            </w:r>
          </w:p>
          <w:p>
            <w:pPr>
              <w:widowControl/>
              <w:spacing w:line="68" w:lineRule="atLeast"/>
              <w:jc w:val="left"/>
              <w:rPr>
                <w:rFonts w:ascii="仿宋_GB2312" w:hAnsi="仿宋" w:eastAsia="仿宋_GB2312" w:cs="Arial"/>
                <w:kern w:val="0"/>
                <w:sz w:val="20"/>
                <w:szCs w:val="20"/>
              </w:rPr>
            </w:pPr>
            <w:r>
              <w:rPr>
                <w:rFonts w:hint="eastAsia" w:ascii="仿宋_GB2312" w:hAnsi="仿宋" w:eastAsia="仿宋_GB2312" w:cs="Arial"/>
                <w:kern w:val="0"/>
                <w:sz w:val="20"/>
                <w:szCs w:val="20"/>
              </w:rPr>
              <w:t>应用绩效评价结果包括向财政部门报告绩效评价结果、向被评价单位反馈绩效评价结果、内部公开绩效评价结果和落实整改措施等方面，其中，落实整改措施包括调整预算结构、改革预算管理、整改发现问题、健全制度措施和实施绩效问责。</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目标值为100%；以2分为上限，采用完成比率法计分：得分=应用率×2，超出目标值不加分。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_GB2312" w:hAnsi="仿宋" w:eastAsia="仿宋_GB2312" w:cs="Arial"/>
                <w:kern w:val="0"/>
                <w:sz w:val="20"/>
                <w:szCs w:val="20"/>
              </w:rPr>
            </w:pPr>
            <w:r>
              <w:rPr>
                <w:rFonts w:hint="eastAsia" w:ascii="仿宋_GB2312" w:hAnsi="仿宋" w:eastAsia="仿宋_GB2312" w:cs="Arial"/>
                <w:kern w:val="0"/>
                <w:sz w:val="20"/>
                <w:szCs w:val="20"/>
              </w:rPr>
              <w:t>结果应用创新（1分）</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_GB2312" w:hAnsi="仿宋" w:eastAsia="仿宋_GB2312" w:cs="Arial"/>
                <w:kern w:val="0"/>
                <w:sz w:val="20"/>
                <w:szCs w:val="20"/>
              </w:rPr>
            </w:pPr>
            <w:r>
              <w:rPr>
                <w:rFonts w:hint="eastAsia" w:ascii="仿宋_GB2312" w:hAnsi="仿宋" w:eastAsia="仿宋_GB2312" w:cs="Arial"/>
                <w:kern w:val="0"/>
                <w:sz w:val="20"/>
                <w:szCs w:val="20"/>
              </w:rPr>
              <w:t>结果应用创新（1分）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_GB2312" w:hAnsi="仿宋" w:eastAsia="仿宋_GB2312" w:cs="Arial"/>
                <w:kern w:val="0"/>
                <w:sz w:val="20"/>
                <w:szCs w:val="20"/>
              </w:rPr>
            </w:pPr>
            <w:r>
              <w:rPr>
                <w:rFonts w:hint="eastAsia" w:ascii="仿宋_GB2312" w:hAnsi="仿宋" w:eastAsia="仿宋_GB2312" w:cs="Arial"/>
                <w:kern w:val="0"/>
                <w:sz w:val="20"/>
                <w:szCs w:val="20"/>
              </w:rPr>
              <w:t>部门将绩效结果主动对外公开、预算绩效管理工作开展情况向同级政府、人大等部门报告，用以反映和考核部门在结果应用方面的创新情况。</w:t>
            </w:r>
          </w:p>
          <w:p>
            <w:pPr>
              <w:widowControl/>
              <w:spacing w:line="68" w:lineRule="atLeast"/>
              <w:jc w:val="left"/>
              <w:rPr>
                <w:rFonts w:ascii="仿宋_GB2312" w:hAnsi="仿宋" w:eastAsia="仿宋_GB2312" w:cs="Arial"/>
                <w:kern w:val="0"/>
                <w:sz w:val="20"/>
                <w:szCs w:val="20"/>
              </w:rPr>
            </w:pPr>
            <w:r>
              <w:rPr>
                <w:rFonts w:hint="eastAsia" w:ascii="仿宋_GB2312" w:hAnsi="仿宋" w:eastAsia="仿宋_GB2312" w:cs="Arial"/>
                <w:kern w:val="0"/>
                <w:sz w:val="20"/>
                <w:szCs w:val="20"/>
              </w:rPr>
              <w:t>评价要点：</w:t>
            </w:r>
          </w:p>
          <w:p>
            <w:pPr>
              <w:widowControl/>
              <w:spacing w:line="68" w:lineRule="atLeast"/>
              <w:jc w:val="left"/>
              <w:rPr>
                <w:rFonts w:ascii="仿宋_GB2312" w:hAnsi="仿宋" w:eastAsia="仿宋_GB2312" w:cs="Arial"/>
                <w:kern w:val="0"/>
                <w:sz w:val="20"/>
                <w:szCs w:val="20"/>
              </w:rPr>
            </w:pPr>
            <w:r>
              <w:rPr>
                <w:rFonts w:hint="eastAsia" w:ascii="仿宋_GB2312" w:hAnsi="仿宋" w:eastAsia="仿宋_GB2312" w:cs="Arial"/>
                <w:kern w:val="0"/>
                <w:sz w:val="20"/>
                <w:szCs w:val="20"/>
              </w:rPr>
              <w:t>1.部门是否按要求对社会公开绩效评价结果。</w:t>
            </w:r>
          </w:p>
          <w:p>
            <w:pPr>
              <w:widowControl/>
              <w:spacing w:line="68" w:lineRule="atLeast"/>
              <w:jc w:val="left"/>
              <w:rPr>
                <w:rFonts w:ascii="仿宋_GB2312" w:hAnsi="仿宋" w:eastAsia="仿宋_GB2312" w:cs="Arial"/>
                <w:kern w:val="0"/>
                <w:sz w:val="20"/>
                <w:szCs w:val="20"/>
              </w:rPr>
            </w:pPr>
            <w:r>
              <w:rPr>
                <w:rFonts w:hint="eastAsia" w:ascii="仿宋_GB2312" w:hAnsi="仿宋" w:eastAsia="仿宋_GB2312" w:cs="Arial"/>
                <w:kern w:val="0"/>
                <w:sz w:val="20"/>
                <w:szCs w:val="20"/>
              </w:rPr>
              <w:t>2.部门是否将预算绩效管理工作开展情况向同级政府、人大等部门报告。</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全部符合（1分）；</w:t>
            </w:r>
          </w:p>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符合其中两项（0.5分）</w:t>
            </w:r>
          </w:p>
          <w:p>
            <w:pPr>
              <w:widowControl/>
              <w:spacing w:line="240" w:lineRule="exact"/>
              <w:jc w:val="left"/>
              <w:rPr>
                <w:rFonts w:ascii="仿宋_GB2312" w:hAnsi="仿宋" w:eastAsia="仿宋_GB2312" w:cs="Arial"/>
                <w:kern w:val="0"/>
                <w:sz w:val="20"/>
                <w:szCs w:val="20"/>
              </w:rPr>
            </w:pPr>
            <w:r>
              <w:rPr>
                <w:rFonts w:hint="eastAsia" w:ascii="仿宋_GB2312" w:hAnsi="仿宋" w:eastAsia="仿宋_GB2312" w:cs="Arial"/>
                <w:kern w:val="0"/>
                <w:sz w:val="20"/>
                <w:szCs w:val="20"/>
              </w:rPr>
              <w:t>符合其中一项及以下（0分）。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仿宋_GB2312" w:hAnsi="宋体" w:eastAsia="仿宋_GB2312" w:cs="宋体"/>
                <w:kern w:val="0"/>
                <w:sz w:val="20"/>
                <w:szCs w:val="20"/>
              </w:rPr>
            </w:pPr>
            <w:r>
              <w:rPr>
                <w:rFonts w:hint="eastAsia" w:ascii="仿宋_GB2312" w:hAnsi="宋体" w:eastAsia="仿宋_GB2312" w:cs="宋体"/>
                <w:kern w:val="0"/>
                <w:sz w:val="20"/>
                <w:szCs w:val="20"/>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社会效益（5分）</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社会公众满意度（5分）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通过问卷调查了解社会公众对部门履职效果、解决民众关心的热点问题、厉行节约等方面的满意程度，反映和评价部门支出所带来的社会效益。</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Arial"/>
                <w:kern w:val="0"/>
                <w:sz w:val="20"/>
                <w:szCs w:val="20"/>
              </w:rPr>
              <w:t>按照满意度调查的优秀、良好、合格、不合格给予该项指标打分：</w:t>
            </w:r>
          </w:p>
          <w:p>
            <w:pPr>
              <w:widowControl/>
              <w:spacing w:line="68" w:lineRule="atLeast"/>
              <w:jc w:val="left"/>
              <w:rPr>
                <w:rFonts w:ascii="仿宋_GB2312" w:hAnsi="仿宋" w:eastAsia="仿宋_GB2312" w:cs="宋体"/>
                <w:kern w:val="0"/>
                <w:sz w:val="20"/>
                <w:szCs w:val="20"/>
              </w:rPr>
            </w:pPr>
            <w:r>
              <w:rPr>
                <w:rFonts w:hint="eastAsia" w:ascii="仿宋_GB2312" w:hAnsi="仿宋" w:eastAsia="仿宋_GB2312" w:cs="Arial"/>
                <w:kern w:val="0"/>
                <w:sz w:val="20"/>
                <w:szCs w:val="20"/>
              </w:rPr>
              <w:t>优秀（5分）；良好（3分）；合格（1分）；不合格（0分）。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769" w:type="dxa"/>
            <w:tcBorders>
              <w:left w:val="single" w:color="000000" w:sz="4" w:space="0"/>
              <w:right w:val="single" w:color="000000" w:sz="4" w:space="0"/>
            </w:tcBorders>
            <w:vAlign w:val="center"/>
          </w:tcPr>
          <w:p>
            <w:pPr>
              <w:widowControl/>
              <w:jc w:val="left"/>
              <w:rPr>
                <w:rFonts w:ascii="仿宋_GB2312" w:hAnsi="仿宋" w:eastAsia="仿宋_GB2312" w:cs="宋体"/>
                <w:kern w:val="0"/>
                <w:sz w:val="20"/>
                <w:szCs w:val="20"/>
              </w:rPr>
            </w:pPr>
            <w:r>
              <w:rPr>
                <w:rFonts w:hint="eastAsia" w:ascii="仿宋_GB2312" w:hAnsi="仿宋" w:eastAsia="仿宋_GB2312" w:cs="宋体"/>
                <w:kern w:val="0"/>
                <w:sz w:val="20"/>
                <w:szCs w:val="20"/>
              </w:rPr>
              <w:t>小计</w:t>
            </w: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_GB2312" w:hAnsi="仿宋" w:eastAsia="仿宋_GB2312" w:cs="Arial"/>
                <w:kern w:val="0"/>
                <w:sz w:val="20"/>
                <w:szCs w:val="20"/>
              </w:rPr>
            </w:pPr>
            <w:r>
              <w:rPr>
                <w:rFonts w:hint="eastAsia" w:ascii="仿宋_GB2312" w:hAnsi="仿宋" w:eastAsia="仿宋_GB2312" w:cs="Arial"/>
                <w:kern w:val="0"/>
                <w:sz w:val="20"/>
                <w:szCs w:val="20"/>
              </w:rPr>
              <w:t>100</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_GB2312" w:hAnsi="仿宋" w:eastAsia="仿宋_GB2312" w:cs="Arial"/>
                <w:kern w:val="0"/>
                <w:sz w:val="20"/>
                <w:szCs w:val="20"/>
              </w:rPr>
            </w:pP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_GB2312" w:hAnsi="仿宋" w:eastAsia="仿宋_GB2312" w:cs="Arial"/>
                <w:kern w:val="0"/>
                <w:sz w:val="20"/>
                <w:szCs w:val="20"/>
              </w:rPr>
            </w:pP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_GB2312" w:hAnsi="仿宋" w:eastAsia="仿宋_GB2312" w:cs="Arial"/>
                <w:kern w:val="0"/>
                <w:sz w:val="20"/>
                <w:szCs w:val="20"/>
              </w:rPr>
            </w:pP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仿宋_GB2312" w:hAnsi="宋体" w:eastAsia="仿宋_GB2312" w:cs="宋体"/>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69" w:type="dxa"/>
            <w:tcBorders>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r>
              <w:rPr>
                <w:rFonts w:hint="eastAsia" w:ascii="仿宋_GB2312" w:hAnsi="仿宋" w:eastAsia="仿宋_GB2312" w:cs="宋体"/>
                <w:kern w:val="0"/>
                <w:sz w:val="20"/>
                <w:szCs w:val="20"/>
              </w:rPr>
              <w:t>评价结果</w:t>
            </w: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_GB2312" w:hAnsi="仿宋" w:eastAsia="仿宋_GB2312" w:cs="Arial"/>
                <w:kern w:val="0"/>
                <w:sz w:val="20"/>
                <w:szCs w:val="20"/>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_GB2312" w:hAnsi="仿宋" w:eastAsia="仿宋_GB2312" w:cs="Arial"/>
                <w:kern w:val="0"/>
                <w:sz w:val="20"/>
                <w:szCs w:val="20"/>
              </w:rPr>
            </w:pPr>
          </w:p>
        </w:tc>
        <w:tc>
          <w:tcPr>
            <w:tcW w:w="6435" w:type="dxa"/>
            <w:gridSpan w:val="2"/>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_GB2312" w:hAnsi="仿宋" w:eastAsia="仿宋_GB2312" w:cs="Arial"/>
                <w:kern w:val="0"/>
                <w:sz w:val="20"/>
                <w:szCs w:val="20"/>
              </w:rPr>
            </w:pPr>
            <w:r>
              <w:rPr>
                <w:rFonts w:hint="eastAsia" w:ascii="仿宋_GB2312" w:hAnsi="仿宋" w:eastAsia="仿宋_GB2312" w:cs="Arial"/>
                <w:kern w:val="0"/>
                <w:sz w:val="20"/>
                <w:szCs w:val="20"/>
              </w:rPr>
              <w:t>□优秀  90分≤得分≤100分； □良好  80分≤得分≤89分；</w:t>
            </w:r>
          </w:p>
          <w:p>
            <w:pPr>
              <w:widowControl/>
              <w:spacing w:line="68" w:lineRule="atLeast"/>
              <w:jc w:val="left"/>
              <w:rPr>
                <w:rFonts w:ascii="仿宋_GB2312" w:hAnsi="仿宋" w:eastAsia="仿宋_GB2312" w:cs="Arial"/>
                <w:kern w:val="0"/>
                <w:sz w:val="20"/>
                <w:szCs w:val="20"/>
              </w:rPr>
            </w:pPr>
            <w:r>
              <w:rPr>
                <w:rFonts w:hint="eastAsia" w:ascii="仿宋_GB2312" w:hAnsi="仿宋" w:eastAsia="仿宋_GB2312" w:cs="Arial"/>
                <w:kern w:val="0"/>
                <w:sz w:val="20"/>
                <w:szCs w:val="20"/>
              </w:rPr>
              <w:t xml:space="preserve">  □中  60分≤得分≤79分；  □较差  0≤得分≤59分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仿宋_GB2312" w:hAnsi="宋体" w:eastAsia="仿宋_GB2312" w:cs="宋体"/>
                <w:kern w:val="0"/>
                <w:sz w:val="20"/>
                <w:szCs w:val="20"/>
              </w:rPr>
            </w:pPr>
            <w:r>
              <w:rPr>
                <w:rFonts w:hint="eastAsia" w:ascii="仿宋_GB2312" w:hAnsi="宋体" w:eastAsia="仿宋_GB2312" w:cs="宋体"/>
                <w:kern w:val="0"/>
                <w:sz w:val="20"/>
                <w:szCs w:val="20"/>
              </w:rPr>
              <w:t>93.5</w:t>
            </w:r>
          </w:p>
        </w:tc>
      </w:tr>
    </w:tbl>
    <w:p>
      <w:pPr>
        <w:rPr>
          <w:rFonts w:ascii="仿宋_GB2312" w:hAnsi="仿宋" w:eastAsia="仿宋_GB2312"/>
          <w:b/>
          <w:sz w:val="20"/>
          <w:szCs w:val="20"/>
        </w:rPr>
      </w:pPr>
    </w:p>
    <w:p>
      <w:pPr>
        <w:ind w:left="210" w:leftChars="100"/>
        <w:rPr>
          <w:rFonts w:ascii="仿宋_GB2312" w:hAnsi="仿宋" w:eastAsia="仿宋_GB2312"/>
          <w:b/>
          <w:sz w:val="20"/>
          <w:szCs w:val="20"/>
        </w:rPr>
      </w:pPr>
    </w:p>
    <w:p>
      <w:pPr>
        <w:ind w:left="210" w:leftChars="100"/>
        <w:rPr>
          <w:rFonts w:ascii="仿宋_GB2312" w:hAnsi="仿宋" w:eastAsia="仿宋_GB2312"/>
          <w:b/>
          <w:sz w:val="20"/>
          <w:szCs w:val="20"/>
        </w:rPr>
      </w:pPr>
    </w:p>
    <w:p>
      <w:pPr>
        <w:ind w:left="210" w:leftChars="100"/>
        <w:rPr>
          <w:rFonts w:ascii="仿宋_GB2312" w:hAnsi="仿宋" w:eastAsia="仿宋_GB2312"/>
          <w:b/>
          <w:sz w:val="20"/>
          <w:szCs w:val="20"/>
        </w:rPr>
      </w:pPr>
    </w:p>
    <w:p>
      <w:pPr>
        <w:ind w:left="210" w:leftChars="100"/>
        <w:rPr>
          <w:rFonts w:ascii="仿宋_GB2312" w:hAnsi="仿宋" w:eastAsia="仿宋_GB2312"/>
          <w:b/>
          <w:sz w:val="20"/>
          <w:szCs w:val="20"/>
        </w:rPr>
      </w:pPr>
    </w:p>
    <w:p>
      <w:pPr>
        <w:ind w:left="210" w:leftChars="100"/>
        <w:rPr>
          <w:rFonts w:ascii="仿宋_GB2312" w:hAnsi="仿宋" w:eastAsia="仿宋_GB2312"/>
          <w:b/>
          <w:sz w:val="20"/>
          <w:szCs w:val="20"/>
        </w:rPr>
      </w:pPr>
    </w:p>
    <w:p>
      <w:pPr>
        <w:ind w:left="210" w:leftChars="100"/>
        <w:rPr>
          <w:rFonts w:ascii="仿宋_GB2312" w:hAnsi="仿宋" w:eastAsia="仿宋_GB2312"/>
          <w:b/>
          <w:sz w:val="20"/>
          <w:szCs w:val="20"/>
        </w:rPr>
      </w:pPr>
    </w:p>
    <w:p>
      <w:pPr>
        <w:ind w:left="210" w:leftChars="100"/>
        <w:rPr>
          <w:rFonts w:ascii="仿宋_GB2312" w:hAnsi="仿宋" w:eastAsia="仿宋_GB2312"/>
          <w:b/>
          <w:sz w:val="20"/>
          <w:szCs w:val="20"/>
        </w:rPr>
      </w:pPr>
    </w:p>
    <w:p>
      <w:pPr>
        <w:ind w:left="210" w:leftChars="100"/>
        <w:rPr>
          <w:rFonts w:ascii="仿宋_GB2312" w:hAnsi="仿宋" w:eastAsia="仿宋_GB2312"/>
          <w:b/>
          <w:sz w:val="20"/>
          <w:szCs w:val="20"/>
        </w:rPr>
      </w:pPr>
    </w:p>
    <w:p>
      <w:pPr>
        <w:ind w:left="210" w:leftChars="100"/>
        <w:rPr>
          <w:rFonts w:ascii="仿宋_GB2312" w:hAnsi="仿宋" w:eastAsia="仿宋_GB2312"/>
          <w:b/>
          <w:sz w:val="20"/>
          <w:szCs w:val="20"/>
        </w:rPr>
      </w:pPr>
    </w:p>
    <w:p>
      <w:pPr>
        <w:ind w:left="210" w:leftChars="100"/>
        <w:rPr>
          <w:rFonts w:ascii="仿宋_GB2312" w:hAnsi="仿宋" w:eastAsia="仿宋_GB2312"/>
          <w:b/>
          <w:sz w:val="20"/>
          <w:szCs w:val="20"/>
        </w:rPr>
      </w:pPr>
    </w:p>
    <w:p>
      <w:pPr>
        <w:ind w:left="210" w:leftChars="100"/>
        <w:rPr>
          <w:rFonts w:ascii="仿宋_GB2312" w:hAnsi="仿宋" w:eastAsia="仿宋_GB2312"/>
          <w:b/>
          <w:sz w:val="20"/>
          <w:szCs w:val="20"/>
        </w:rPr>
      </w:pPr>
    </w:p>
    <w:p>
      <w:pPr>
        <w:ind w:left="210" w:leftChars="100"/>
        <w:rPr>
          <w:rFonts w:ascii="仿宋_GB2312" w:hAnsi="仿宋" w:eastAsia="仿宋_GB2312"/>
          <w:b/>
          <w:sz w:val="20"/>
          <w:szCs w:val="20"/>
        </w:rPr>
      </w:pPr>
    </w:p>
    <w:p>
      <w:pPr>
        <w:ind w:left="210" w:leftChars="100"/>
        <w:rPr>
          <w:rFonts w:ascii="仿宋_GB2312" w:hAnsi="仿宋" w:eastAsia="仿宋_GB2312"/>
          <w:b/>
          <w:sz w:val="20"/>
          <w:szCs w:val="20"/>
        </w:rPr>
      </w:pPr>
    </w:p>
    <w:p>
      <w:pPr>
        <w:ind w:left="210" w:leftChars="100"/>
        <w:rPr>
          <w:rFonts w:ascii="仿宋_GB2312" w:hAnsi="仿宋" w:eastAsia="仿宋_GB2312"/>
          <w:b/>
          <w:sz w:val="20"/>
          <w:szCs w:val="20"/>
        </w:rPr>
      </w:pPr>
    </w:p>
    <w:p>
      <w:pPr>
        <w:ind w:left="210" w:leftChars="100"/>
        <w:rPr>
          <w:rFonts w:ascii="仿宋_GB2312" w:hAnsi="仿宋" w:eastAsia="仿宋_GB2312"/>
          <w:b/>
          <w:sz w:val="20"/>
          <w:szCs w:val="20"/>
        </w:rPr>
      </w:pPr>
    </w:p>
    <w:p>
      <w:pPr>
        <w:rPr>
          <w:rFonts w:ascii="仿宋_GB2312" w:hAnsi="仿宋" w:eastAsia="仿宋_GB2312"/>
          <w:b/>
          <w:sz w:val="20"/>
          <w:szCs w:val="20"/>
        </w:rPr>
      </w:pPr>
    </w:p>
    <w:p>
      <w:pPr>
        <w:rPr>
          <w:rFonts w:ascii="仿宋_GB2312" w:hAnsi="仿宋" w:eastAsia="仿宋_GB2312"/>
          <w:b/>
          <w:sz w:val="20"/>
          <w:szCs w:val="20"/>
        </w:rPr>
      </w:pPr>
    </w:p>
    <w:p>
      <w:pPr>
        <w:rPr>
          <w:rFonts w:ascii="仿宋_GB2312" w:hAnsi="仿宋" w:eastAsia="仿宋_GB2312"/>
          <w:b/>
          <w:sz w:val="20"/>
          <w:szCs w:val="20"/>
        </w:rPr>
      </w:pPr>
    </w:p>
    <w:p>
      <w:pPr>
        <w:rPr>
          <w:rFonts w:ascii="仿宋_GB2312" w:hAnsi="仿宋" w:eastAsia="仿宋_GB2312"/>
          <w:b/>
          <w:sz w:val="20"/>
          <w:szCs w:val="20"/>
        </w:rPr>
      </w:pPr>
    </w:p>
    <w:p>
      <w:pPr>
        <w:rPr>
          <w:rFonts w:ascii="仿宋_GB2312" w:hAnsi="仿宋" w:eastAsia="仿宋_GB2312"/>
          <w:b/>
          <w:sz w:val="20"/>
          <w:szCs w:val="20"/>
        </w:rPr>
      </w:pPr>
    </w:p>
    <w:p>
      <w:pPr>
        <w:rPr>
          <w:rFonts w:ascii="仿宋_GB2312" w:hAnsi="仿宋" w:eastAsia="仿宋_GB2312"/>
          <w:b/>
          <w:sz w:val="20"/>
          <w:szCs w:val="20"/>
        </w:rPr>
      </w:pPr>
    </w:p>
    <w:p>
      <w:pPr>
        <w:rPr>
          <w:rFonts w:ascii="仿宋_GB2312" w:hAnsi="仿宋" w:eastAsia="仿宋_GB2312"/>
          <w:b/>
          <w:sz w:val="20"/>
          <w:szCs w:val="20"/>
        </w:rPr>
      </w:pPr>
    </w:p>
    <w:p>
      <w:pPr>
        <w:rPr>
          <w:rFonts w:ascii="仿宋_GB2312" w:hAnsi="仿宋" w:eastAsia="仿宋_GB2312"/>
          <w:b/>
          <w:sz w:val="20"/>
          <w:szCs w:val="20"/>
        </w:rPr>
      </w:pPr>
    </w:p>
    <w:p>
      <w:pPr>
        <w:rPr>
          <w:rFonts w:ascii="仿宋_GB2312" w:hAnsi="仿宋" w:eastAsia="仿宋_GB2312"/>
          <w:b/>
          <w:sz w:val="20"/>
          <w:szCs w:val="20"/>
        </w:rPr>
      </w:pPr>
    </w:p>
    <w:p>
      <w:pPr>
        <w:rPr>
          <w:rFonts w:ascii="仿宋_GB2312" w:hAnsi="仿宋" w:eastAsia="仿宋_GB2312"/>
          <w:b/>
          <w:sz w:val="20"/>
          <w:szCs w:val="20"/>
        </w:rPr>
      </w:pPr>
      <w:r>
        <w:rPr>
          <w:rFonts w:hint="eastAsia" w:ascii="仿宋_GB2312" w:hAnsi="仿宋" w:eastAsia="仿宋_GB2312"/>
          <w:b/>
          <w:sz w:val="20"/>
          <w:szCs w:val="20"/>
        </w:rPr>
        <w:t>附件3</w:t>
      </w:r>
    </w:p>
    <w:tbl>
      <w:tblPr>
        <w:tblStyle w:val="5"/>
        <w:tblW w:w="9924" w:type="dxa"/>
        <w:tblInd w:w="-459" w:type="dxa"/>
        <w:tblLayout w:type="fixed"/>
        <w:tblCellMar>
          <w:top w:w="0" w:type="dxa"/>
          <w:left w:w="108" w:type="dxa"/>
          <w:bottom w:w="0" w:type="dxa"/>
          <w:right w:w="108" w:type="dxa"/>
        </w:tblCellMar>
      </w:tblPr>
      <w:tblGrid>
        <w:gridCol w:w="1418"/>
        <w:gridCol w:w="1134"/>
        <w:gridCol w:w="283"/>
        <w:gridCol w:w="284"/>
        <w:gridCol w:w="709"/>
        <w:gridCol w:w="425"/>
        <w:gridCol w:w="850"/>
        <w:gridCol w:w="1276"/>
        <w:gridCol w:w="851"/>
        <w:gridCol w:w="172"/>
        <w:gridCol w:w="962"/>
        <w:gridCol w:w="15"/>
        <w:gridCol w:w="1545"/>
      </w:tblGrid>
      <w:tr>
        <w:tblPrEx>
          <w:tblCellMar>
            <w:top w:w="0" w:type="dxa"/>
            <w:left w:w="108" w:type="dxa"/>
            <w:bottom w:w="0" w:type="dxa"/>
            <w:right w:w="108" w:type="dxa"/>
          </w:tblCellMar>
        </w:tblPrEx>
        <w:trPr>
          <w:gridAfter w:val="2"/>
          <w:wAfter w:w="1560" w:type="dxa"/>
          <w:trHeight w:val="214" w:hRule="atLeast"/>
        </w:trPr>
        <w:tc>
          <w:tcPr>
            <w:tcW w:w="8364" w:type="dxa"/>
            <w:gridSpan w:val="11"/>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C0C0C" w:themeColor="text1" w:themeTint="F2"/>
                <w:kern w:val="0"/>
                <w:sz w:val="20"/>
                <w:szCs w:val="20"/>
              </w:rPr>
            </w:pPr>
            <w:r>
              <w:rPr>
                <w:rFonts w:hint="eastAsia" w:ascii="仿宋_GB2312" w:hAnsi="宋体" w:eastAsia="仿宋_GB2312" w:cs="宋体"/>
                <w:b/>
                <w:bCs/>
                <w:color w:val="0C0C0C" w:themeColor="text1" w:themeTint="F2"/>
                <w:kern w:val="0"/>
                <w:sz w:val="20"/>
                <w:szCs w:val="20"/>
              </w:rPr>
              <w:t>部门整体支出绩效自评表</w:t>
            </w:r>
          </w:p>
        </w:tc>
      </w:tr>
      <w:tr>
        <w:tblPrEx>
          <w:tblCellMar>
            <w:top w:w="0" w:type="dxa"/>
            <w:left w:w="108" w:type="dxa"/>
            <w:bottom w:w="0" w:type="dxa"/>
            <w:right w:w="108" w:type="dxa"/>
          </w:tblCellMar>
        </w:tblPrEx>
        <w:trPr>
          <w:gridAfter w:val="2"/>
          <w:wAfter w:w="1560" w:type="dxa"/>
          <w:trHeight w:val="267" w:hRule="atLeast"/>
        </w:trPr>
        <w:tc>
          <w:tcPr>
            <w:tcW w:w="8364" w:type="dxa"/>
            <w:gridSpan w:val="11"/>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C0C0C" w:themeColor="text1" w:themeTint="F2"/>
                <w:kern w:val="0"/>
                <w:sz w:val="20"/>
                <w:szCs w:val="20"/>
              </w:rPr>
            </w:pPr>
            <w:r>
              <w:rPr>
                <w:rFonts w:hint="eastAsia" w:ascii="仿宋_GB2312" w:hAnsi="宋体" w:eastAsia="仿宋_GB2312" w:cs="宋体"/>
                <w:b/>
                <w:bCs/>
                <w:color w:val="0C0C0C" w:themeColor="text1" w:themeTint="F2"/>
                <w:kern w:val="0"/>
                <w:sz w:val="20"/>
                <w:szCs w:val="20"/>
              </w:rPr>
              <w:t>（  2021 年度）</w:t>
            </w:r>
          </w:p>
        </w:tc>
      </w:tr>
      <w:tr>
        <w:tblPrEx>
          <w:tblCellMar>
            <w:top w:w="0" w:type="dxa"/>
            <w:left w:w="108" w:type="dxa"/>
            <w:bottom w:w="0" w:type="dxa"/>
            <w:right w:w="108" w:type="dxa"/>
          </w:tblCellMar>
        </w:tblPrEx>
        <w:trPr>
          <w:trHeight w:val="619"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r>
              <w:rPr>
                <w:rFonts w:hint="eastAsia" w:ascii="仿宋_GB2312" w:hAnsi="宋体" w:eastAsia="仿宋_GB2312" w:cs="宋体"/>
                <w:color w:val="0C0C0C" w:themeColor="text1" w:themeTint="F2"/>
                <w:kern w:val="0"/>
                <w:sz w:val="20"/>
                <w:szCs w:val="20"/>
              </w:rPr>
              <w:t>项目支出名称</w:t>
            </w:r>
          </w:p>
        </w:tc>
        <w:tc>
          <w:tcPr>
            <w:tcW w:w="8506" w:type="dxa"/>
            <w:gridSpan w:val="12"/>
            <w:tcBorders>
              <w:top w:val="single" w:color="auto" w:sz="4" w:space="0"/>
              <w:left w:val="nil"/>
              <w:bottom w:val="single" w:color="auto" w:sz="4" w:space="0"/>
              <w:right w:val="single" w:color="auto" w:sz="4" w:space="0"/>
            </w:tcBorders>
            <w:shd w:val="clear" w:color="auto" w:fill="auto"/>
            <w:vAlign w:val="center"/>
          </w:tcPr>
          <w:p>
            <w:pPr>
              <w:widowControl/>
              <w:ind w:firstLine="2300" w:firstLineChars="1150"/>
              <w:jc w:val="left"/>
              <w:rPr>
                <w:rFonts w:ascii="仿宋_GB2312" w:eastAsia="仿宋_GB2312"/>
                <w:color w:val="0C0C0C" w:themeColor="text1" w:themeTint="F2"/>
                <w:sz w:val="20"/>
                <w:szCs w:val="20"/>
              </w:rPr>
            </w:pPr>
            <w:r>
              <w:rPr>
                <w:rFonts w:hint="eastAsia" w:ascii="仿宋_GB2312" w:eastAsia="仿宋_GB2312"/>
                <w:color w:val="0C0C0C" w:themeColor="text1" w:themeTint="F2"/>
                <w:kern w:val="0"/>
                <w:sz w:val="20"/>
                <w:szCs w:val="20"/>
              </w:rPr>
              <w:t>司法局总体支出绩效</w:t>
            </w:r>
          </w:p>
        </w:tc>
      </w:tr>
      <w:tr>
        <w:tblPrEx>
          <w:tblCellMar>
            <w:top w:w="0" w:type="dxa"/>
            <w:left w:w="108" w:type="dxa"/>
            <w:bottom w:w="0" w:type="dxa"/>
            <w:right w:w="108" w:type="dxa"/>
          </w:tblCellMar>
        </w:tblPrEx>
        <w:trPr>
          <w:trHeight w:val="415"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r>
              <w:rPr>
                <w:rFonts w:hint="eastAsia" w:ascii="仿宋_GB2312" w:hAnsi="宋体" w:eastAsia="仿宋_GB2312" w:cs="宋体"/>
                <w:color w:val="0C0C0C" w:themeColor="text1" w:themeTint="F2"/>
                <w:kern w:val="0"/>
                <w:sz w:val="20"/>
                <w:szCs w:val="20"/>
              </w:rPr>
              <w:t>主管部门</w:t>
            </w:r>
          </w:p>
        </w:tc>
        <w:tc>
          <w:tcPr>
            <w:tcW w:w="3685"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r>
              <w:rPr>
                <w:rFonts w:hint="eastAsia" w:ascii="仿宋_GB2312" w:eastAsia="仿宋_GB2312"/>
                <w:color w:val="0C0C0C" w:themeColor="text1" w:themeTint="F2"/>
                <w:kern w:val="0"/>
                <w:sz w:val="20"/>
                <w:szCs w:val="20"/>
              </w:rPr>
              <w:t>辰溪县人民政府</w:t>
            </w:r>
            <w:r>
              <w:rPr>
                <w:rFonts w:hint="eastAsia" w:ascii="仿宋_GB2312" w:hAnsi="宋体" w:eastAsia="仿宋_GB2312" w:cs="宋体"/>
                <w:color w:val="0C0C0C" w:themeColor="text1" w:themeTint="F2"/>
                <w:kern w:val="0"/>
                <w:sz w:val="20"/>
                <w:szCs w:val="20"/>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r>
              <w:rPr>
                <w:rFonts w:hint="eastAsia" w:ascii="仿宋_GB2312" w:hAnsi="宋体" w:eastAsia="仿宋_GB2312" w:cs="宋体"/>
                <w:color w:val="0C0C0C" w:themeColor="text1" w:themeTint="F2"/>
                <w:kern w:val="0"/>
                <w:sz w:val="20"/>
                <w:szCs w:val="20"/>
              </w:rPr>
              <w:t>实施单位</w:t>
            </w:r>
          </w:p>
        </w:tc>
        <w:tc>
          <w:tcPr>
            <w:tcW w:w="3545"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eastAsia="仿宋_GB2312"/>
                <w:color w:val="0C0C0C" w:themeColor="text1" w:themeTint="F2"/>
                <w:sz w:val="20"/>
                <w:szCs w:val="20"/>
              </w:rPr>
            </w:pPr>
            <w:r>
              <w:rPr>
                <w:rFonts w:hint="eastAsia" w:ascii="仿宋_GB2312" w:hAnsi="宋体" w:eastAsia="仿宋_GB2312" w:cs="宋体"/>
                <w:color w:val="0C0C0C" w:themeColor="text1" w:themeTint="F2"/>
                <w:kern w:val="0"/>
                <w:sz w:val="20"/>
                <w:szCs w:val="20"/>
              </w:rPr>
              <w:t>辰溪县司法局</w:t>
            </w:r>
          </w:p>
        </w:tc>
      </w:tr>
      <w:tr>
        <w:tblPrEx>
          <w:tblCellMar>
            <w:top w:w="0" w:type="dxa"/>
            <w:left w:w="108" w:type="dxa"/>
            <w:bottom w:w="0" w:type="dxa"/>
            <w:right w:w="108" w:type="dxa"/>
          </w:tblCellMar>
        </w:tblPrEx>
        <w:trPr>
          <w:trHeight w:val="936" w:hRule="atLeast"/>
        </w:trPr>
        <w:tc>
          <w:tcPr>
            <w:tcW w:w="1418" w:type="dxa"/>
            <w:tcBorders>
              <w:top w:val="nil"/>
              <w:left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r>
              <w:rPr>
                <w:rFonts w:hint="eastAsia" w:ascii="仿宋_GB2312" w:hAnsi="宋体" w:eastAsia="仿宋_GB2312" w:cs="宋体"/>
                <w:color w:val="0C0C0C" w:themeColor="text1" w:themeTint="F2"/>
                <w:kern w:val="0"/>
                <w:sz w:val="20"/>
                <w:szCs w:val="20"/>
              </w:rPr>
              <w:t>项目资金（万元）</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r>
              <w:rPr>
                <w:rFonts w:hint="eastAsia" w:ascii="仿宋_GB2312" w:hAnsi="宋体" w:eastAsia="仿宋_GB2312" w:cs="宋体"/>
                <w:color w:val="0C0C0C" w:themeColor="text1" w:themeTint="F2"/>
                <w:kern w:val="0"/>
                <w:sz w:val="20"/>
                <w:szCs w:val="20"/>
              </w:rPr>
              <w:t>　</w:t>
            </w:r>
          </w:p>
        </w:tc>
        <w:tc>
          <w:tcPr>
            <w:tcW w:w="99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r>
              <w:rPr>
                <w:rFonts w:hint="eastAsia" w:ascii="仿宋_GB2312" w:hAnsi="宋体" w:eastAsia="仿宋_GB2312" w:cs="宋体"/>
                <w:color w:val="0C0C0C" w:themeColor="text1" w:themeTint="F2"/>
                <w:kern w:val="0"/>
                <w:sz w:val="20"/>
                <w:szCs w:val="20"/>
              </w:rPr>
              <w:t>年初预算数</w:t>
            </w:r>
          </w:p>
        </w:tc>
        <w:tc>
          <w:tcPr>
            <w:tcW w:w="127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r>
              <w:rPr>
                <w:rFonts w:hint="eastAsia" w:ascii="仿宋_GB2312" w:hAnsi="宋体" w:eastAsia="仿宋_GB2312" w:cs="宋体"/>
                <w:color w:val="0C0C0C" w:themeColor="text1" w:themeTint="F2"/>
                <w:kern w:val="0"/>
                <w:sz w:val="20"/>
                <w:szCs w:val="20"/>
              </w:rPr>
              <w:t>全年预算数</w:t>
            </w: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r>
              <w:rPr>
                <w:rFonts w:hint="eastAsia" w:ascii="仿宋_GB2312" w:hAnsi="宋体" w:eastAsia="仿宋_GB2312" w:cs="宋体"/>
                <w:color w:val="0C0C0C" w:themeColor="text1" w:themeTint="F2"/>
                <w:kern w:val="0"/>
                <w:sz w:val="20"/>
                <w:szCs w:val="20"/>
              </w:rPr>
              <w:t>全年执行数</w:t>
            </w: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r>
              <w:rPr>
                <w:rFonts w:hint="eastAsia" w:ascii="仿宋_GB2312" w:hAnsi="宋体" w:eastAsia="仿宋_GB2312" w:cs="宋体"/>
                <w:color w:val="0C0C0C" w:themeColor="text1" w:themeTint="F2"/>
                <w:kern w:val="0"/>
                <w:sz w:val="20"/>
                <w:szCs w:val="20"/>
              </w:rPr>
              <w:t>分值</w:t>
            </w:r>
          </w:p>
        </w:tc>
        <w:tc>
          <w:tcPr>
            <w:tcW w:w="113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r>
              <w:rPr>
                <w:rFonts w:hint="eastAsia" w:ascii="仿宋_GB2312" w:hAnsi="宋体" w:eastAsia="仿宋_GB2312" w:cs="宋体"/>
                <w:color w:val="0C0C0C" w:themeColor="text1" w:themeTint="F2"/>
                <w:kern w:val="0"/>
                <w:sz w:val="20"/>
                <w:szCs w:val="20"/>
              </w:rPr>
              <w:t>执行率</w:t>
            </w:r>
          </w:p>
        </w:tc>
        <w:tc>
          <w:tcPr>
            <w:tcW w:w="15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r>
              <w:rPr>
                <w:rFonts w:hint="eastAsia" w:ascii="仿宋_GB2312" w:hAnsi="宋体" w:eastAsia="仿宋_GB2312" w:cs="宋体"/>
                <w:color w:val="0C0C0C" w:themeColor="text1" w:themeTint="F2"/>
                <w:kern w:val="0"/>
                <w:sz w:val="20"/>
                <w:szCs w:val="20"/>
              </w:rPr>
              <w:t>得分</w:t>
            </w:r>
          </w:p>
        </w:tc>
      </w:tr>
      <w:tr>
        <w:tblPrEx>
          <w:tblCellMar>
            <w:top w:w="0" w:type="dxa"/>
            <w:left w:w="108" w:type="dxa"/>
            <w:bottom w:w="0" w:type="dxa"/>
            <w:right w:w="108" w:type="dxa"/>
          </w:tblCellMar>
        </w:tblPrEx>
        <w:trPr>
          <w:trHeight w:val="168"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r>
              <w:rPr>
                <w:rFonts w:hint="eastAsia" w:ascii="仿宋_GB2312" w:hAnsi="宋体" w:eastAsia="仿宋_GB2312" w:cs="宋体"/>
                <w:color w:val="0C0C0C" w:themeColor="text1" w:themeTint="F2"/>
                <w:kern w:val="0"/>
                <w:sz w:val="20"/>
                <w:szCs w:val="20"/>
              </w:rPr>
              <w:t>　</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r>
              <w:rPr>
                <w:rFonts w:hint="eastAsia" w:ascii="仿宋_GB2312" w:hAnsi="宋体" w:eastAsia="仿宋_GB2312" w:cs="宋体"/>
                <w:color w:val="0C0C0C" w:themeColor="text1" w:themeTint="F2"/>
                <w:kern w:val="0"/>
                <w:sz w:val="20"/>
                <w:szCs w:val="20"/>
              </w:rPr>
              <w:t>年度资金总额　</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r>
              <w:rPr>
                <w:rFonts w:hint="eastAsia" w:ascii="仿宋_GB2312" w:hAnsi="宋体" w:eastAsia="仿宋_GB2312" w:cs="宋体"/>
                <w:color w:val="0C0C0C" w:themeColor="text1" w:themeTint="F2"/>
                <w:kern w:val="0"/>
                <w:sz w:val="20"/>
                <w:szCs w:val="20"/>
              </w:rPr>
              <w:t>2406.98</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r>
              <w:rPr>
                <w:rFonts w:hint="eastAsia" w:ascii="仿宋_GB2312" w:hAnsi="宋体" w:eastAsia="仿宋_GB2312" w:cs="宋体"/>
                <w:color w:val="0C0C0C" w:themeColor="text1" w:themeTint="F2"/>
                <w:kern w:val="0"/>
                <w:sz w:val="20"/>
                <w:szCs w:val="20"/>
              </w:rPr>
              <w:t>2318.14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r>
              <w:rPr>
                <w:rFonts w:hint="eastAsia" w:ascii="仿宋_GB2312" w:hAnsi="宋体" w:eastAsia="仿宋_GB2312" w:cs="宋体"/>
                <w:color w:val="0C0C0C" w:themeColor="text1" w:themeTint="F2"/>
                <w:kern w:val="0"/>
                <w:sz w:val="20"/>
                <w:szCs w:val="20"/>
              </w:rPr>
              <w:t>10</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r>
              <w:rPr>
                <w:rFonts w:hint="eastAsia" w:ascii="仿宋_GB2312" w:hAnsi="宋体" w:eastAsia="仿宋_GB2312" w:cs="宋体"/>
                <w:color w:val="0C0C0C" w:themeColor="text1" w:themeTint="F2"/>
                <w:kern w:val="0"/>
                <w:sz w:val="20"/>
                <w:szCs w:val="20"/>
              </w:rPr>
              <w:t>96%</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r>
              <w:rPr>
                <w:rFonts w:hint="eastAsia" w:ascii="仿宋_GB2312" w:hAnsi="宋体" w:eastAsia="仿宋_GB2312" w:cs="宋体"/>
                <w:color w:val="0C0C0C" w:themeColor="text1" w:themeTint="F2"/>
                <w:kern w:val="0"/>
                <w:sz w:val="20"/>
                <w:szCs w:val="20"/>
              </w:rPr>
              <w:t>9</w:t>
            </w:r>
          </w:p>
        </w:tc>
      </w:tr>
      <w:tr>
        <w:tblPrEx>
          <w:tblCellMar>
            <w:top w:w="0" w:type="dxa"/>
            <w:left w:w="108" w:type="dxa"/>
            <w:bottom w:w="0" w:type="dxa"/>
            <w:right w:w="108" w:type="dxa"/>
          </w:tblCellMar>
        </w:tblPrEx>
        <w:trPr>
          <w:trHeight w:val="168"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r>
              <w:rPr>
                <w:rFonts w:hint="eastAsia" w:ascii="仿宋_GB2312" w:hAnsi="宋体" w:eastAsia="仿宋_GB2312" w:cs="宋体"/>
                <w:color w:val="0C0C0C" w:themeColor="text1" w:themeTint="F2"/>
                <w:kern w:val="0"/>
                <w:sz w:val="20"/>
                <w:szCs w:val="20"/>
              </w:rPr>
              <w:t>　</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r>
              <w:rPr>
                <w:rFonts w:hint="eastAsia" w:ascii="仿宋_GB2312" w:hAnsi="宋体" w:eastAsia="仿宋_GB2312" w:cs="宋体"/>
                <w:color w:val="0C0C0C" w:themeColor="text1" w:themeTint="F2"/>
                <w:kern w:val="0"/>
                <w:sz w:val="20"/>
                <w:szCs w:val="20"/>
              </w:rPr>
              <w:t>其中：当年财政拨款　</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p>
        </w:tc>
      </w:tr>
      <w:tr>
        <w:tblPrEx>
          <w:tblCellMar>
            <w:top w:w="0" w:type="dxa"/>
            <w:left w:w="108" w:type="dxa"/>
            <w:bottom w:w="0" w:type="dxa"/>
            <w:right w:w="108" w:type="dxa"/>
          </w:tblCellMar>
        </w:tblPrEx>
        <w:trPr>
          <w:trHeight w:val="168"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r>
              <w:rPr>
                <w:rFonts w:hint="eastAsia" w:ascii="仿宋_GB2312" w:hAnsi="宋体" w:eastAsia="仿宋_GB2312" w:cs="宋体"/>
                <w:color w:val="0C0C0C" w:themeColor="text1" w:themeTint="F2"/>
                <w:kern w:val="0"/>
                <w:sz w:val="20"/>
                <w:szCs w:val="20"/>
              </w:rPr>
              <w:t>　</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r>
              <w:rPr>
                <w:rFonts w:hint="eastAsia" w:ascii="仿宋_GB2312" w:hAnsi="宋体" w:eastAsia="仿宋_GB2312" w:cs="宋体"/>
                <w:color w:val="0C0C0C" w:themeColor="text1" w:themeTint="F2"/>
                <w:kern w:val="0"/>
                <w:sz w:val="20"/>
                <w:szCs w:val="20"/>
              </w:rPr>
              <w:t>上年结转资金　</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p>
        </w:tc>
      </w:tr>
      <w:tr>
        <w:tblPrEx>
          <w:tblCellMar>
            <w:top w:w="0" w:type="dxa"/>
            <w:left w:w="108" w:type="dxa"/>
            <w:bottom w:w="0" w:type="dxa"/>
            <w:right w:w="108" w:type="dxa"/>
          </w:tblCellMar>
        </w:tblPrEx>
        <w:trPr>
          <w:trHeight w:val="168"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r>
              <w:rPr>
                <w:rFonts w:hint="eastAsia" w:ascii="仿宋_GB2312" w:hAnsi="宋体" w:eastAsia="仿宋_GB2312" w:cs="宋体"/>
                <w:color w:val="0C0C0C" w:themeColor="text1" w:themeTint="F2"/>
                <w:kern w:val="0"/>
                <w:sz w:val="20"/>
                <w:szCs w:val="20"/>
              </w:rPr>
              <w:t>　</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r>
              <w:rPr>
                <w:rFonts w:hint="eastAsia" w:ascii="仿宋_GB2312" w:hAnsi="宋体" w:eastAsia="仿宋_GB2312" w:cs="宋体"/>
                <w:color w:val="0C0C0C" w:themeColor="text1" w:themeTint="F2"/>
                <w:kern w:val="0"/>
                <w:sz w:val="20"/>
                <w:szCs w:val="20"/>
              </w:rPr>
              <w:t>其他资金</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p>
        </w:tc>
      </w:tr>
      <w:tr>
        <w:tblPrEx>
          <w:tblCellMar>
            <w:top w:w="0" w:type="dxa"/>
            <w:left w:w="108" w:type="dxa"/>
            <w:bottom w:w="0" w:type="dxa"/>
            <w:right w:w="108" w:type="dxa"/>
          </w:tblCellMar>
        </w:tblPrEx>
        <w:trPr>
          <w:trHeight w:val="6085" w:hRule="atLeast"/>
        </w:trPr>
        <w:tc>
          <w:tcPr>
            <w:tcW w:w="1418" w:type="dxa"/>
            <w:tcBorders>
              <w:top w:val="nil"/>
              <w:left w:val="single" w:color="auto" w:sz="4" w:space="0"/>
              <w:right w:val="single" w:color="auto" w:sz="4" w:space="0"/>
            </w:tcBorders>
            <w:shd w:val="clear" w:color="auto" w:fill="auto"/>
            <w:vAlign w:val="center"/>
          </w:tcPr>
          <w:p>
            <w:pPr>
              <w:widowControl/>
              <w:jc w:val="center"/>
              <w:rPr>
                <w:rFonts w:ascii="仿宋_GB2312" w:hAnsi="宋体" w:eastAsia="仿宋_GB2312" w:cs="宋体"/>
                <w:color w:val="0C0C0C" w:themeColor="text1" w:themeTint="F2"/>
                <w:kern w:val="0"/>
                <w:sz w:val="20"/>
                <w:szCs w:val="20"/>
              </w:rPr>
            </w:pPr>
            <w:r>
              <w:rPr>
                <w:rFonts w:hint="eastAsia" w:ascii="仿宋_GB2312" w:hAnsi="宋体" w:eastAsia="仿宋_GB2312" w:cs="宋体"/>
                <w:color w:val="0C0C0C" w:themeColor="text1" w:themeTint="F2"/>
                <w:kern w:val="0"/>
                <w:sz w:val="20"/>
                <w:szCs w:val="20"/>
              </w:rPr>
              <w:t>年度总体目标</w:t>
            </w:r>
          </w:p>
        </w:tc>
        <w:tc>
          <w:tcPr>
            <w:tcW w:w="368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baseline"/>
              <w:rPr>
                <w:rFonts w:ascii="仿宋_GB2312" w:hAnsi="微软雅黑" w:eastAsia="仿宋_GB2312" w:cs="微软雅黑"/>
                <w:color w:val="0C0C0C" w:themeColor="text1" w:themeTint="F2"/>
                <w:kern w:val="0"/>
                <w:sz w:val="20"/>
                <w:szCs w:val="20"/>
                <w:shd w:val="clear" w:color="auto" w:fill="FFFFFF"/>
              </w:rPr>
            </w:pPr>
            <w:r>
              <w:rPr>
                <w:rFonts w:hint="eastAsia" w:ascii="仿宋_GB2312" w:hAnsi="微软雅黑" w:eastAsia="仿宋_GB2312" w:cs="微软雅黑"/>
                <w:color w:val="0C0C0C" w:themeColor="text1" w:themeTint="F2"/>
                <w:kern w:val="0"/>
                <w:sz w:val="20"/>
                <w:szCs w:val="20"/>
                <w:shd w:val="clear" w:color="auto" w:fill="FFFFFF"/>
              </w:rPr>
              <w:t>目标1：拟订司法行政工作发展规划和年度计划并组织实施</w:t>
            </w:r>
            <w:r>
              <w:rPr>
                <w:rFonts w:hint="eastAsia" w:ascii="微软雅黑" w:hAnsi="微软雅黑" w:eastAsia="仿宋_GB2312" w:cs="微软雅黑"/>
                <w:color w:val="0C0C0C" w:themeColor="text1" w:themeTint="F2"/>
                <w:kern w:val="0"/>
                <w:sz w:val="20"/>
                <w:szCs w:val="20"/>
                <w:shd w:val="clear" w:color="auto" w:fill="FFFFFF"/>
              </w:rPr>
              <w:t>     </w:t>
            </w:r>
          </w:p>
          <w:p>
            <w:pPr>
              <w:widowControl/>
              <w:jc w:val="center"/>
              <w:rPr>
                <w:rFonts w:ascii="仿宋_GB2312" w:hAnsi="宋体" w:eastAsia="仿宋_GB2312" w:cs="宋体"/>
                <w:color w:val="0C0C0C" w:themeColor="text1" w:themeTint="F2"/>
                <w:kern w:val="0"/>
                <w:sz w:val="20"/>
                <w:szCs w:val="20"/>
              </w:rPr>
            </w:pPr>
            <w:r>
              <w:rPr>
                <w:rFonts w:hint="eastAsia" w:ascii="仿宋_GB2312" w:hAnsi="微软雅黑" w:eastAsia="仿宋_GB2312" w:cs="微软雅黑"/>
                <w:color w:val="0C0C0C" w:themeColor="text1" w:themeTint="F2"/>
                <w:kern w:val="0"/>
                <w:sz w:val="20"/>
                <w:szCs w:val="20"/>
                <w:shd w:val="clear" w:color="auto" w:fill="FFFFFF"/>
              </w:rPr>
              <w:t>目标2：指导、管理、监督律师、公证、法律援助工作并承担相应责任目标3：指导、监督乡镇司法所建设和人民调解、社区矫正工作；会同有关部门负责对刑满释放、期满解教人员的安置帮教工作。</w:t>
            </w:r>
            <w:r>
              <w:rPr>
                <w:rFonts w:hint="eastAsia" w:ascii="微软雅黑" w:hAnsi="微软雅黑" w:eastAsia="仿宋_GB2312" w:cs="微软雅黑"/>
                <w:color w:val="0C0C0C" w:themeColor="text1" w:themeTint="F2"/>
                <w:kern w:val="0"/>
                <w:sz w:val="20"/>
                <w:szCs w:val="20"/>
                <w:shd w:val="clear" w:color="auto" w:fill="FFFFFF"/>
              </w:rPr>
              <w:t> </w:t>
            </w:r>
            <w:r>
              <w:rPr>
                <w:rFonts w:hint="eastAsia" w:ascii="仿宋_GB2312" w:hAnsi="微软雅黑" w:eastAsia="仿宋_GB2312" w:cs="微软雅黑"/>
                <w:color w:val="0C0C0C" w:themeColor="text1" w:themeTint="F2"/>
                <w:kern w:val="0"/>
                <w:sz w:val="20"/>
                <w:szCs w:val="20"/>
                <w:shd w:val="clear" w:color="auto" w:fill="FFFFFF"/>
              </w:rPr>
              <w:t>目标4：拟订、指导法制宣传教育和依法治理工作计划并组织实施；参与社会治安综合治理工作。</w:t>
            </w:r>
          </w:p>
        </w:tc>
        <w:tc>
          <w:tcPr>
            <w:tcW w:w="482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hd w:val="clear" w:color="auto" w:fill="FFFFFF"/>
              <w:spacing w:before="0" w:beforeAutospacing="0" w:after="0" w:afterAutospacing="0" w:line="26" w:lineRule="atLeast"/>
              <w:ind w:firstLine="300"/>
              <w:jc w:val="both"/>
              <w:textAlignment w:val="baseline"/>
              <w:rPr>
                <w:rFonts w:ascii="仿宋_GB2312" w:hAnsi="仿宋" w:eastAsia="仿宋_GB2312" w:cs="仿宋"/>
                <w:color w:val="0C0C0C" w:themeColor="text1" w:themeTint="F2"/>
                <w:sz w:val="20"/>
                <w:szCs w:val="20"/>
              </w:rPr>
            </w:pPr>
            <w:r>
              <w:rPr>
                <w:rFonts w:hint="eastAsia" w:ascii="仿宋_GB2312" w:hAnsi="仿宋" w:eastAsia="仿宋_GB2312"/>
                <w:color w:val="0C0C0C" w:themeColor="text1" w:themeTint="F2"/>
                <w:sz w:val="20"/>
                <w:szCs w:val="20"/>
              </w:rPr>
              <w:t>今年以来，共排查调处矛盾纠纷1466件，调解率100%，调解成功率98%，</w:t>
            </w:r>
            <w:r>
              <w:rPr>
                <w:rFonts w:hint="eastAsia" w:ascii="仿宋_GB2312" w:hAnsi="仿宋" w:eastAsia="仿宋_GB2312" w:cs="仿宋"/>
                <w:color w:val="0C0C0C" w:themeColor="text1" w:themeTint="F2"/>
                <w:sz w:val="20"/>
                <w:szCs w:val="20"/>
              </w:rPr>
              <w:t>没有一件激化升级。</w:t>
            </w:r>
          </w:p>
          <w:p>
            <w:pPr>
              <w:pStyle w:val="4"/>
              <w:widowControl/>
              <w:shd w:val="clear" w:color="auto" w:fill="FFFFFF"/>
              <w:spacing w:before="0" w:beforeAutospacing="0" w:after="0" w:afterAutospacing="0" w:line="26" w:lineRule="atLeast"/>
              <w:ind w:firstLine="300"/>
              <w:jc w:val="both"/>
              <w:textAlignment w:val="baseline"/>
              <w:rPr>
                <w:rFonts w:ascii="仿宋_GB2312" w:hAnsi="仿宋" w:eastAsia="仿宋_GB2312" w:cs="仿宋"/>
                <w:color w:val="0C0C0C" w:themeColor="text1" w:themeTint="F2"/>
                <w:sz w:val="20"/>
                <w:szCs w:val="20"/>
              </w:rPr>
            </w:pPr>
            <w:r>
              <w:rPr>
                <w:rFonts w:hint="eastAsia" w:ascii="仿宋_GB2312" w:hAnsi="仿宋" w:eastAsia="仿宋_GB2312" w:cs="仿宋"/>
                <w:color w:val="0C0C0C" w:themeColor="text1" w:themeTint="F2"/>
                <w:sz w:val="20"/>
                <w:szCs w:val="20"/>
              </w:rPr>
              <w:t>创新教育矫正模式，在全县实行“1313”教育矫正模式，制定了《2021辰溪县教育矫正工作计划》，全面实施分类教育，精准做好个别教育。</w:t>
            </w:r>
          </w:p>
          <w:p>
            <w:pPr>
              <w:pStyle w:val="4"/>
              <w:widowControl/>
              <w:shd w:val="clear" w:color="auto" w:fill="FFFFFF"/>
              <w:spacing w:before="0" w:beforeAutospacing="0" w:after="0" w:afterAutospacing="0" w:line="26" w:lineRule="atLeast"/>
              <w:ind w:firstLine="300"/>
              <w:jc w:val="both"/>
              <w:textAlignment w:val="baseline"/>
              <w:rPr>
                <w:rFonts w:ascii="仿宋_GB2312" w:hAnsi="仿宋" w:eastAsia="仿宋_GB2312" w:cs="仿宋"/>
                <w:color w:val="0C0C0C" w:themeColor="text1" w:themeTint="F2"/>
                <w:sz w:val="20"/>
                <w:szCs w:val="20"/>
              </w:rPr>
            </w:pPr>
            <w:r>
              <w:rPr>
                <w:rFonts w:hint="eastAsia" w:ascii="仿宋_GB2312" w:hAnsi="仿宋" w:eastAsia="仿宋_GB2312" w:cs="仿宋"/>
                <w:color w:val="0C0C0C" w:themeColor="text1" w:themeTint="F2"/>
                <w:sz w:val="20"/>
                <w:szCs w:val="20"/>
              </w:rPr>
              <w:t>今年以来，新接收社区矫正对象121人，解除矫正127人，现在册121人；累计接收社区矫正对象1324人，累计解除矫正1203人；</w:t>
            </w:r>
          </w:p>
          <w:p>
            <w:pPr>
              <w:pStyle w:val="4"/>
              <w:widowControl/>
              <w:shd w:val="clear" w:color="auto" w:fill="FFFFFF"/>
              <w:spacing w:before="0" w:beforeAutospacing="0" w:after="0" w:afterAutospacing="0" w:line="26" w:lineRule="atLeast"/>
              <w:ind w:firstLine="300"/>
              <w:jc w:val="both"/>
              <w:textAlignment w:val="baseline"/>
              <w:rPr>
                <w:rFonts w:ascii="仿宋_GB2312" w:hAnsi="仿宋" w:eastAsia="仿宋_GB2312" w:cs="仿宋"/>
                <w:color w:val="0C0C0C" w:themeColor="text1" w:themeTint="F2"/>
                <w:sz w:val="20"/>
                <w:szCs w:val="20"/>
              </w:rPr>
            </w:pPr>
            <w:r>
              <w:rPr>
                <w:rFonts w:hint="eastAsia" w:ascii="仿宋_GB2312" w:hAnsi="仿宋" w:eastAsia="仿宋_GB2312" w:cs="仿宋"/>
                <w:color w:val="0C0C0C" w:themeColor="text1" w:themeTint="F2"/>
                <w:sz w:val="20"/>
                <w:szCs w:val="20"/>
              </w:rPr>
              <w:t>今年以来共受理法律援助案件300件，，为受援人挽回经济损失400余万元。</w:t>
            </w:r>
          </w:p>
          <w:p>
            <w:pPr>
              <w:pStyle w:val="4"/>
              <w:widowControl/>
              <w:shd w:val="clear" w:color="auto" w:fill="FFFFFF"/>
              <w:spacing w:before="0" w:beforeAutospacing="0" w:after="0" w:afterAutospacing="0" w:line="26" w:lineRule="atLeast"/>
              <w:ind w:firstLine="300"/>
              <w:jc w:val="both"/>
              <w:textAlignment w:val="baseline"/>
              <w:rPr>
                <w:rFonts w:ascii="仿宋_GB2312" w:eastAsia="仿宋_GB2312"/>
                <w:color w:val="0C0C0C" w:themeColor="text1" w:themeTint="F2"/>
                <w:sz w:val="20"/>
                <w:szCs w:val="20"/>
              </w:rPr>
            </w:pPr>
            <w:r>
              <w:rPr>
                <w:rFonts w:hint="eastAsia" w:ascii="仿宋_GB2312" w:hAnsi="仿宋" w:eastAsia="仿宋_GB2312" w:cs="仿宋"/>
                <w:color w:val="0C0C0C" w:themeColor="text1" w:themeTint="F2"/>
                <w:sz w:val="20"/>
                <w:szCs w:val="20"/>
              </w:rPr>
              <w:t>三大平台共接待群众法律咨询 1020 余人次，值班律师参与办理认罪认罚案件125件；公证处共受理各类公证案件122件；司法鉴定所共受理司法鉴定案件 22件，采信率100%，继续保持案件“零投诉”四是大力强化法律服务执业管理。</w:t>
            </w:r>
          </w:p>
        </w:tc>
      </w:tr>
      <w:tr>
        <w:tblPrEx>
          <w:tblCellMar>
            <w:top w:w="0" w:type="dxa"/>
            <w:left w:w="108" w:type="dxa"/>
            <w:bottom w:w="0" w:type="dxa"/>
            <w:right w:w="108" w:type="dxa"/>
          </w:tblCellMar>
        </w:tblPrEx>
        <w:trPr>
          <w:trHeight w:val="168" w:hRule="atLeast"/>
        </w:trPr>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绩效指标</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一级指标</w:t>
            </w:r>
          </w:p>
        </w:tc>
        <w:tc>
          <w:tcPr>
            <w:tcW w:w="5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二级指标</w:t>
            </w:r>
          </w:p>
        </w:tc>
        <w:tc>
          <w:tcPr>
            <w:tcW w:w="113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三级指标</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年度</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实际</w:t>
            </w:r>
          </w:p>
        </w:tc>
        <w:tc>
          <w:tcPr>
            <w:tcW w:w="102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分值</w:t>
            </w:r>
          </w:p>
        </w:tc>
        <w:tc>
          <w:tcPr>
            <w:tcW w:w="97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得分</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偏差原因分析及改进措施</w:t>
            </w:r>
          </w:p>
        </w:tc>
      </w:tr>
      <w:tr>
        <w:tblPrEx>
          <w:tblCellMar>
            <w:top w:w="0" w:type="dxa"/>
            <w:left w:w="108" w:type="dxa"/>
            <w:bottom w:w="0" w:type="dxa"/>
            <w:right w:w="108" w:type="dxa"/>
          </w:tblCellMar>
        </w:tblPrEx>
        <w:trPr>
          <w:trHeight w:val="624" w:hRule="atLeast"/>
        </w:trPr>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指标值</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完成值</w:t>
            </w:r>
          </w:p>
        </w:tc>
        <w:tc>
          <w:tcPr>
            <w:tcW w:w="10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97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624" w:hRule="atLeast"/>
        </w:trPr>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10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97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52" w:hRule="atLeast"/>
        </w:trPr>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产出指标</w:t>
            </w:r>
          </w:p>
        </w:tc>
        <w:tc>
          <w:tcPr>
            <w:tcW w:w="56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职责履行</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数量指标</w:t>
            </w:r>
          </w:p>
        </w:tc>
        <w:tc>
          <w:tcPr>
            <w:tcW w:w="850" w:type="dxa"/>
            <w:tcBorders>
              <w:top w:val="nil"/>
              <w:left w:val="nil"/>
              <w:bottom w:val="single" w:color="auto" w:sz="4" w:space="0"/>
              <w:right w:val="single" w:color="auto" w:sz="4" w:space="0"/>
            </w:tcBorders>
            <w:shd w:val="clear" w:color="auto" w:fill="auto"/>
            <w:vAlign w:val="center"/>
          </w:tcPr>
          <w:p>
            <w:pPr>
              <w:pStyle w:val="4"/>
              <w:widowControl/>
              <w:spacing w:before="0" w:beforeAutospacing="0" w:after="0" w:afterAutospacing="0" w:line="26" w:lineRule="atLeast"/>
              <w:jc w:val="both"/>
              <w:textAlignment w:val="baseline"/>
              <w:rPr>
                <w:rFonts w:ascii="仿宋_GB2312" w:eastAsia="仿宋_GB2312"/>
                <w:color w:val="000000"/>
                <w:sz w:val="20"/>
                <w:szCs w:val="20"/>
              </w:rPr>
            </w:pPr>
            <w:r>
              <w:rPr>
                <w:rFonts w:hint="eastAsia" w:ascii="仿宋_GB2312" w:hAnsi="微软雅黑" w:eastAsia="仿宋_GB2312" w:cs="微软雅黑"/>
                <w:color w:val="555555"/>
                <w:sz w:val="20"/>
                <w:szCs w:val="20"/>
              </w:rPr>
              <w:t>安置帮教对象无重新犯罪发生</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FF0000"/>
                <w:kern w:val="0"/>
                <w:sz w:val="20"/>
                <w:szCs w:val="20"/>
              </w:rPr>
            </w:pPr>
            <w:r>
              <w:rPr>
                <w:rFonts w:hint="eastAsia" w:ascii="仿宋_GB2312" w:hAnsi="微软雅黑" w:eastAsia="仿宋_GB2312" w:cs="微软雅黑"/>
                <w:color w:val="555555"/>
                <w:sz w:val="20"/>
                <w:szCs w:val="20"/>
                <w:shd w:val="clear" w:color="auto" w:fill="FFFFFF"/>
              </w:rPr>
              <w:t>重新犯罪率小于</w:t>
            </w:r>
            <w:r>
              <w:rPr>
                <w:rFonts w:hint="eastAsia" w:ascii="仿宋_GB2312" w:hAnsi="微软雅黑" w:eastAsia="仿宋_GB2312" w:cs="微软雅黑"/>
                <w:color w:val="555555"/>
                <w:sz w:val="20"/>
                <w:szCs w:val="20"/>
              </w:rPr>
              <w:t>1%</w:t>
            </w:r>
          </w:p>
        </w:tc>
        <w:tc>
          <w:tcPr>
            <w:tcW w:w="102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9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FF0000"/>
                <w:kern w:val="0"/>
                <w:sz w:val="20"/>
                <w:szCs w:val="20"/>
              </w:rPr>
            </w:pPr>
            <w:r>
              <w:rPr>
                <w:rFonts w:hint="eastAsia" w:ascii="仿宋_GB2312" w:hAnsi="宋体" w:eastAsia="仿宋_GB2312" w:cs="宋体"/>
                <w:color w:val="FF0000"/>
                <w:kern w:val="0"/>
                <w:sz w:val="20"/>
                <w:szCs w:val="20"/>
              </w:rPr>
              <w:t>10</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CellMar>
            <w:top w:w="0" w:type="dxa"/>
            <w:left w:w="108" w:type="dxa"/>
            <w:bottom w:w="0" w:type="dxa"/>
            <w:right w:w="108" w:type="dxa"/>
          </w:tblCellMar>
        </w:tblPrEx>
        <w:trPr>
          <w:trHeight w:val="277" w:hRule="atLeast"/>
        </w:trPr>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质量指标</w:t>
            </w:r>
          </w:p>
        </w:tc>
        <w:tc>
          <w:tcPr>
            <w:tcW w:w="850" w:type="dxa"/>
            <w:tcBorders>
              <w:top w:val="nil"/>
              <w:left w:val="nil"/>
              <w:bottom w:val="single" w:color="auto" w:sz="4" w:space="0"/>
              <w:right w:val="single" w:color="auto" w:sz="4" w:space="0"/>
            </w:tcBorders>
            <w:shd w:val="clear" w:color="auto" w:fill="auto"/>
            <w:vAlign w:val="center"/>
          </w:tcPr>
          <w:p>
            <w:pPr>
              <w:pStyle w:val="4"/>
              <w:widowControl/>
              <w:spacing w:before="0" w:beforeAutospacing="0" w:after="0" w:afterAutospacing="0" w:line="26" w:lineRule="atLeast"/>
              <w:jc w:val="both"/>
              <w:textAlignment w:val="baseline"/>
              <w:rPr>
                <w:rFonts w:ascii="仿宋_GB2312" w:eastAsia="仿宋_GB2312"/>
                <w:color w:val="000000"/>
                <w:sz w:val="20"/>
                <w:szCs w:val="20"/>
              </w:rPr>
            </w:pPr>
            <w:r>
              <w:rPr>
                <w:rFonts w:hint="eastAsia" w:ascii="仿宋_GB2312" w:hAnsi="微软雅黑" w:eastAsia="仿宋_GB2312" w:cs="微软雅黑"/>
                <w:color w:val="555555"/>
                <w:sz w:val="20"/>
                <w:szCs w:val="20"/>
              </w:rPr>
              <w:t>政府采购执行率</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FF0000"/>
                <w:kern w:val="0"/>
                <w:sz w:val="20"/>
                <w:szCs w:val="20"/>
              </w:rPr>
            </w:pPr>
            <w:r>
              <w:rPr>
                <w:rFonts w:hint="eastAsia" w:ascii="仿宋_GB2312" w:hAnsi="微软雅黑" w:eastAsia="仿宋_GB2312" w:cs="微软雅黑"/>
                <w:color w:val="555555"/>
                <w:sz w:val="20"/>
                <w:szCs w:val="20"/>
              </w:rPr>
              <w:t>严格执行到位</w:t>
            </w:r>
          </w:p>
        </w:tc>
        <w:tc>
          <w:tcPr>
            <w:tcW w:w="102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9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FF0000"/>
                <w:kern w:val="0"/>
                <w:sz w:val="20"/>
                <w:szCs w:val="20"/>
              </w:rPr>
            </w:pPr>
            <w:r>
              <w:rPr>
                <w:rFonts w:hint="eastAsia" w:ascii="仿宋_GB2312" w:hAnsi="宋体" w:eastAsia="仿宋_GB2312" w:cs="宋体"/>
                <w:color w:val="FF0000"/>
                <w:kern w:val="0"/>
                <w:sz w:val="20"/>
                <w:szCs w:val="20"/>
              </w:rPr>
              <w:t>10</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CellMar>
            <w:top w:w="0" w:type="dxa"/>
            <w:left w:w="108" w:type="dxa"/>
            <w:bottom w:w="0" w:type="dxa"/>
            <w:right w:w="108" w:type="dxa"/>
          </w:tblCellMar>
        </w:tblPrEx>
        <w:trPr>
          <w:trHeight w:val="283" w:hRule="atLeast"/>
        </w:trPr>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时效指标</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FF0000"/>
                <w:kern w:val="0"/>
                <w:sz w:val="20"/>
                <w:szCs w:val="20"/>
              </w:rPr>
            </w:pPr>
            <w:r>
              <w:rPr>
                <w:rFonts w:hint="eastAsia" w:ascii="仿宋_GB2312" w:hAnsi="微软雅黑" w:eastAsia="仿宋_GB2312" w:cs="微软雅黑"/>
                <w:color w:val="555555"/>
                <w:sz w:val="20"/>
                <w:szCs w:val="20"/>
                <w:shd w:val="clear" w:color="auto" w:fill="FFFFFF"/>
              </w:rPr>
              <w:t>各项工作按时完成</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FF0000"/>
                <w:kern w:val="0"/>
                <w:sz w:val="20"/>
                <w:szCs w:val="20"/>
              </w:rPr>
            </w:pPr>
            <w:r>
              <w:rPr>
                <w:rFonts w:hint="eastAsia" w:ascii="仿宋_GB2312" w:hAnsi="微软雅黑" w:eastAsia="仿宋_GB2312" w:cs="微软雅黑"/>
                <w:color w:val="555555"/>
                <w:sz w:val="20"/>
                <w:szCs w:val="20"/>
                <w:shd w:val="clear" w:color="auto" w:fill="FFFFFF"/>
              </w:rPr>
              <w:t>100%</w:t>
            </w:r>
          </w:p>
        </w:tc>
        <w:tc>
          <w:tcPr>
            <w:tcW w:w="102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15</w:t>
            </w:r>
          </w:p>
        </w:tc>
        <w:tc>
          <w:tcPr>
            <w:tcW w:w="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FF0000"/>
                <w:kern w:val="0"/>
                <w:sz w:val="20"/>
                <w:szCs w:val="20"/>
              </w:rPr>
            </w:pPr>
            <w:r>
              <w:rPr>
                <w:rFonts w:hint="eastAsia" w:ascii="仿宋_GB2312" w:hAnsi="宋体" w:eastAsia="仿宋_GB2312" w:cs="宋体"/>
                <w:color w:val="FF0000"/>
                <w:kern w:val="0"/>
                <w:sz w:val="20"/>
                <w:szCs w:val="20"/>
              </w:rPr>
              <w:t>15</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CellMar>
            <w:top w:w="0" w:type="dxa"/>
            <w:left w:w="108" w:type="dxa"/>
            <w:bottom w:w="0" w:type="dxa"/>
            <w:right w:w="108" w:type="dxa"/>
          </w:tblCellMar>
        </w:tblPrEx>
        <w:trPr>
          <w:trHeight w:val="221" w:hRule="atLeast"/>
        </w:trPr>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成本指标</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FF0000"/>
                <w:kern w:val="0"/>
                <w:sz w:val="20"/>
                <w:szCs w:val="20"/>
              </w:rPr>
            </w:pPr>
            <w:r>
              <w:rPr>
                <w:rFonts w:hint="eastAsia" w:ascii="仿宋_GB2312" w:hAnsi="微软雅黑" w:eastAsia="仿宋_GB2312" w:cs="微软雅黑"/>
                <w:color w:val="555555"/>
                <w:sz w:val="20"/>
                <w:szCs w:val="20"/>
                <w:shd w:val="clear" w:color="auto" w:fill="FFFFFF"/>
              </w:rPr>
              <w:t>人员、公用经费等不超出预算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FF0000"/>
                <w:kern w:val="0"/>
                <w:sz w:val="20"/>
                <w:szCs w:val="20"/>
              </w:rPr>
            </w:pPr>
            <w:r>
              <w:rPr>
                <w:rFonts w:hint="eastAsia" w:ascii="仿宋_GB2312" w:hAnsi="微软雅黑" w:eastAsia="仿宋_GB2312" w:cs="微软雅黑"/>
                <w:color w:val="555555"/>
                <w:sz w:val="20"/>
                <w:szCs w:val="20"/>
                <w:shd w:val="clear" w:color="auto" w:fill="FFFFFF"/>
              </w:rPr>
              <w:t>100%</w:t>
            </w:r>
          </w:p>
        </w:tc>
        <w:tc>
          <w:tcPr>
            <w:tcW w:w="102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13</w:t>
            </w:r>
          </w:p>
        </w:tc>
        <w:tc>
          <w:tcPr>
            <w:tcW w:w="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FF0000"/>
                <w:kern w:val="0"/>
                <w:sz w:val="20"/>
                <w:szCs w:val="20"/>
              </w:rPr>
            </w:pPr>
            <w:r>
              <w:rPr>
                <w:rFonts w:hint="eastAsia" w:ascii="仿宋_GB2312" w:hAnsi="宋体" w:eastAsia="仿宋_GB2312" w:cs="宋体"/>
                <w:color w:val="FF0000"/>
                <w:kern w:val="0"/>
                <w:sz w:val="20"/>
                <w:szCs w:val="20"/>
              </w:rPr>
              <w:t>13</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CellMar>
            <w:top w:w="0" w:type="dxa"/>
            <w:left w:w="108" w:type="dxa"/>
            <w:bottom w:w="0" w:type="dxa"/>
            <w:right w:w="108" w:type="dxa"/>
          </w:tblCellMar>
        </w:tblPrEx>
        <w:trPr>
          <w:trHeight w:val="283" w:hRule="atLeast"/>
        </w:trPr>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效益指标</w:t>
            </w:r>
          </w:p>
        </w:tc>
        <w:tc>
          <w:tcPr>
            <w:tcW w:w="56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履职效益</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经济效益</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FF0000"/>
                <w:kern w:val="0"/>
                <w:sz w:val="20"/>
                <w:szCs w:val="20"/>
              </w:rPr>
            </w:pPr>
            <w:r>
              <w:rPr>
                <w:rFonts w:hint="eastAsia" w:ascii="仿宋_GB2312" w:hAnsi="微软雅黑" w:eastAsia="仿宋_GB2312" w:cs="微软雅黑"/>
                <w:color w:val="555555"/>
                <w:sz w:val="20"/>
                <w:szCs w:val="20"/>
                <w:shd w:val="clear" w:color="auto" w:fill="FFFFFF"/>
              </w:rPr>
              <w:t>优化经济环境</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FF0000"/>
                <w:kern w:val="0"/>
                <w:sz w:val="20"/>
                <w:szCs w:val="20"/>
              </w:rPr>
            </w:pPr>
            <w:r>
              <w:rPr>
                <w:rFonts w:hint="eastAsia" w:ascii="仿宋_GB2312" w:eastAsia="仿宋_GB2312"/>
                <w:color w:val="000000"/>
                <w:kern w:val="0"/>
                <w:sz w:val="20"/>
                <w:szCs w:val="20"/>
              </w:rPr>
              <w:t>经济环境得到优化</w:t>
            </w:r>
          </w:p>
        </w:tc>
        <w:tc>
          <w:tcPr>
            <w:tcW w:w="102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FF0000"/>
                <w:kern w:val="0"/>
                <w:sz w:val="20"/>
                <w:szCs w:val="20"/>
              </w:rPr>
            </w:pPr>
            <w:r>
              <w:rPr>
                <w:rFonts w:hint="eastAsia" w:ascii="仿宋_GB2312" w:hAnsi="宋体" w:eastAsia="仿宋_GB2312" w:cs="宋体"/>
                <w:color w:val="FF0000"/>
                <w:kern w:val="0"/>
                <w:sz w:val="20"/>
                <w:szCs w:val="20"/>
              </w:rPr>
              <w:t>10</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CellMar>
            <w:top w:w="0" w:type="dxa"/>
            <w:left w:w="108" w:type="dxa"/>
            <w:bottom w:w="0" w:type="dxa"/>
            <w:right w:w="108" w:type="dxa"/>
          </w:tblCellMar>
        </w:tblPrEx>
        <w:trPr>
          <w:trHeight w:val="255" w:hRule="atLeast"/>
        </w:trPr>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社会效益</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FF0000"/>
                <w:kern w:val="0"/>
                <w:sz w:val="20"/>
                <w:szCs w:val="20"/>
              </w:rPr>
            </w:pPr>
            <w:r>
              <w:rPr>
                <w:rFonts w:hint="eastAsia" w:ascii="仿宋_GB2312" w:hAnsi="微软雅黑" w:eastAsia="仿宋_GB2312" w:cs="微软雅黑"/>
                <w:color w:val="555555"/>
                <w:sz w:val="20"/>
                <w:szCs w:val="20"/>
                <w:shd w:val="clear" w:color="auto" w:fill="FFFFFF"/>
              </w:rPr>
              <w:t>群众法制观念加强</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FF0000"/>
                <w:kern w:val="0"/>
                <w:sz w:val="20"/>
                <w:szCs w:val="20"/>
              </w:rPr>
            </w:pPr>
            <w:r>
              <w:rPr>
                <w:rFonts w:hint="eastAsia" w:ascii="仿宋_GB2312" w:eastAsia="仿宋_GB2312"/>
                <w:color w:val="000000"/>
                <w:kern w:val="0"/>
                <w:sz w:val="20"/>
                <w:szCs w:val="20"/>
              </w:rPr>
              <w:t>法制观念得到加强</w:t>
            </w:r>
          </w:p>
        </w:tc>
        <w:tc>
          <w:tcPr>
            <w:tcW w:w="102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FF0000"/>
                <w:kern w:val="0"/>
                <w:sz w:val="20"/>
                <w:szCs w:val="20"/>
              </w:rPr>
            </w:pPr>
            <w:r>
              <w:rPr>
                <w:rFonts w:hint="eastAsia" w:ascii="仿宋_GB2312" w:hAnsi="宋体" w:eastAsia="仿宋_GB2312" w:cs="宋体"/>
                <w:color w:val="FF0000"/>
                <w:kern w:val="0"/>
                <w:sz w:val="20"/>
                <w:szCs w:val="20"/>
              </w:rPr>
              <w:t>10</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CellMar>
            <w:top w:w="0" w:type="dxa"/>
            <w:left w:w="108" w:type="dxa"/>
            <w:bottom w:w="0" w:type="dxa"/>
            <w:right w:w="108" w:type="dxa"/>
          </w:tblCellMar>
        </w:tblPrEx>
        <w:trPr>
          <w:trHeight w:val="287" w:hRule="atLeast"/>
        </w:trPr>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生态效益</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FF0000"/>
                <w:kern w:val="0"/>
                <w:sz w:val="20"/>
                <w:szCs w:val="20"/>
              </w:rPr>
            </w:pPr>
            <w:r>
              <w:rPr>
                <w:rFonts w:hint="eastAsia" w:ascii="仿宋_GB2312" w:hAnsi="微软雅黑" w:eastAsia="仿宋_GB2312" w:cs="微软雅黑"/>
                <w:color w:val="555555"/>
                <w:sz w:val="20"/>
                <w:szCs w:val="20"/>
                <w:shd w:val="clear" w:color="auto" w:fill="FFFFFF"/>
              </w:rPr>
              <w:t>生态法治建设制度创新与实践</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FF0000"/>
                <w:kern w:val="0"/>
                <w:sz w:val="20"/>
                <w:szCs w:val="20"/>
              </w:rPr>
            </w:pPr>
            <w:r>
              <w:rPr>
                <w:rFonts w:hint="eastAsia" w:ascii="仿宋_GB2312" w:hAnsi="宋体" w:eastAsia="仿宋_GB2312" w:cs="宋体"/>
                <w:color w:val="FF0000"/>
                <w:kern w:val="0"/>
                <w:sz w:val="20"/>
                <w:szCs w:val="20"/>
              </w:rPr>
              <w:t>100%</w:t>
            </w:r>
          </w:p>
        </w:tc>
        <w:tc>
          <w:tcPr>
            <w:tcW w:w="102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c>
          <w:tcPr>
            <w:tcW w:w="9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FF0000"/>
                <w:kern w:val="0"/>
                <w:sz w:val="20"/>
                <w:szCs w:val="20"/>
              </w:rPr>
            </w:pPr>
            <w:r>
              <w:rPr>
                <w:rFonts w:hint="eastAsia" w:ascii="仿宋_GB2312" w:hAnsi="宋体" w:eastAsia="仿宋_GB2312" w:cs="宋体"/>
                <w:color w:val="FF0000"/>
                <w:kern w:val="0"/>
                <w:sz w:val="20"/>
                <w:szCs w:val="20"/>
              </w:rPr>
              <w:t>5</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CellMar>
            <w:top w:w="0" w:type="dxa"/>
            <w:left w:w="108" w:type="dxa"/>
            <w:bottom w:w="0" w:type="dxa"/>
            <w:right w:w="108" w:type="dxa"/>
          </w:tblCellMar>
        </w:tblPrEx>
        <w:trPr>
          <w:trHeight w:val="337" w:hRule="atLeast"/>
        </w:trPr>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可持续影响指标</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FF0000"/>
                <w:kern w:val="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FF0000"/>
                <w:kern w:val="0"/>
                <w:sz w:val="20"/>
                <w:szCs w:val="20"/>
              </w:rPr>
            </w:pPr>
            <w:r>
              <w:rPr>
                <w:rFonts w:hint="eastAsia" w:ascii="仿宋_GB2312" w:hAnsi="宋体" w:eastAsia="仿宋_GB2312" w:cs="宋体"/>
                <w:color w:val="FF0000"/>
                <w:kern w:val="0"/>
                <w:sz w:val="20"/>
                <w:szCs w:val="20"/>
              </w:rPr>
              <w:t>落实各项惠农扶贫政策</w:t>
            </w:r>
          </w:p>
        </w:tc>
        <w:tc>
          <w:tcPr>
            <w:tcW w:w="102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FF0000"/>
                <w:kern w:val="0"/>
                <w:sz w:val="20"/>
                <w:szCs w:val="20"/>
              </w:rPr>
            </w:pPr>
            <w:r>
              <w:rPr>
                <w:rFonts w:hint="eastAsia" w:ascii="仿宋_GB2312" w:hAnsi="宋体" w:eastAsia="仿宋_GB2312" w:cs="宋体"/>
                <w:color w:val="FF0000"/>
                <w:kern w:val="0"/>
                <w:sz w:val="20"/>
                <w:szCs w:val="20"/>
              </w:rPr>
              <w:t>5</w:t>
            </w:r>
          </w:p>
        </w:tc>
        <w:tc>
          <w:tcPr>
            <w:tcW w:w="154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384" w:hRule="atLeast"/>
        </w:trPr>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满意度指标</w:t>
            </w:r>
          </w:p>
        </w:tc>
        <w:tc>
          <w:tcPr>
            <w:tcW w:w="567" w:type="dxa"/>
            <w:gridSpan w:val="2"/>
            <w:tcBorders>
              <w:top w:val="single" w:color="auto" w:sz="4" w:space="0"/>
              <w:left w:val="nil"/>
              <w:bottom w:val="single" w:color="auto" w:sz="4" w:space="0"/>
              <w:right w:val="nil"/>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结果效益</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服务对象满意度指标</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FF0000"/>
                <w:kern w:val="0"/>
                <w:sz w:val="20"/>
                <w:szCs w:val="20"/>
              </w:rPr>
            </w:pPr>
            <w:r>
              <w:rPr>
                <w:rFonts w:hint="eastAsia" w:ascii="仿宋_GB2312" w:eastAsia="仿宋_GB2312"/>
                <w:color w:val="000000"/>
                <w:kern w:val="0"/>
                <w:sz w:val="20"/>
                <w:szCs w:val="20"/>
              </w:rPr>
              <w:t>满意度</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FF0000"/>
                <w:kern w:val="0"/>
                <w:sz w:val="20"/>
                <w:szCs w:val="20"/>
              </w:rPr>
            </w:pPr>
            <w:r>
              <w:rPr>
                <w:rFonts w:hint="eastAsia" w:ascii="仿宋_GB2312" w:hAnsi="宋体" w:eastAsia="仿宋_GB2312" w:cs="宋体"/>
                <w:color w:val="FF0000"/>
                <w:kern w:val="0"/>
                <w:sz w:val="20"/>
                <w:szCs w:val="20"/>
              </w:rPr>
              <w:t>98%</w:t>
            </w:r>
          </w:p>
        </w:tc>
        <w:tc>
          <w:tcPr>
            <w:tcW w:w="102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w:t>
            </w:r>
          </w:p>
        </w:tc>
        <w:tc>
          <w:tcPr>
            <w:tcW w:w="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FF0000"/>
                <w:kern w:val="0"/>
                <w:sz w:val="20"/>
                <w:szCs w:val="20"/>
              </w:rPr>
            </w:pPr>
            <w:r>
              <w:rPr>
                <w:rFonts w:hint="eastAsia" w:ascii="仿宋_GB2312" w:hAnsi="宋体" w:eastAsia="仿宋_GB2312" w:cs="宋体"/>
                <w:color w:val="FF0000"/>
                <w:kern w:val="0"/>
                <w:sz w:val="20"/>
                <w:szCs w:val="20"/>
              </w:rPr>
              <w:t>11</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CellMar>
            <w:top w:w="0" w:type="dxa"/>
            <w:left w:w="108" w:type="dxa"/>
            <w:bottom w:w="0" w:type="dxa"/>
            <w:right w:w="108" w:type="dxa"/>
          </w:tblCellMar>
        </w:tblPrEx>
        <w:trPr>
          <w:trHeight w:val="68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合计</w:t>
            </w:r>
          </w:p>
        </w:tc>
        <w:tc>
          <w:tcPr>
            <w:tcW w:w="56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02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100</w:t>
            </w:r>
          </w:p>
        </w:tc>
        <w:tc>
          <w:tcPr>
            <w:tcW w:w="9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FF0000"/>
                <w:kern w:val="0"/>
                <w:sz w:val="20"/>
                <w:szCs w:val="20"/>
              </w:rPr>
            </w:pPr>
            <w:r>
              <w:rPr>
                <w:rFonts w:hint="eastAsia" w:ascii="仿宋_GB2312" w:hAnsi="宋体" w:eastAsia="仿宋_GB2312" w:cs="宋体"/>
                <w:color w:val="FF0000"/>
                <w:kern w:val="0"/>
                <w:sz w:val="20"/>
                <w:szCs w:val="20"/>
              </w:rPr>
              <w:t>98</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gridAfter w:val="2"/>
          <w:wAfter w:w="1560" w:type="dxa"/>
          <w:trHeight w:val="337" w:hRule="atLeast"/>
        </w:trPr>
        <w:tc>
          <w:tcPr>
            <w:tcW w:w="8364" w:type="dxa"/>
            <w:gridSpan w:val="11"/>
            <w:tcBorders>
              <w:top w:val="nil"/>
              <w:left w:val="nil"/>
              <w:bottom w:val="nil"/>
              <w:right w:val="nil"/>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填表人：     填表日期：  年  月  日     联系电话：           单位负责人签字：  </w:t>
            </w:r>
          </w:p>
        </w:tc>
      </w:tr>
    </w:tbl>
    <w:p>
      <w:pPr>
        <w:widowControl/>
        <w:spacing w:line="578" w:lineRule="exact"/>
        <w:jc w:val="left"/>
        <w:rPr>
          <w:rFonts w:ascii="仿宋_GB2312" w:hAnsi="宋体" w:eastAsia="仿宋_GB2312" w:cs="宋体"/>
          <w:b/>
          <w:kern w:val="0"/>
          <w:sz w:val="20"/>
          <w:szCs w:val="20"/>
        </w:rPr>
      </w:pPr>
    </w:p>
    <w:p>
      <w:pPr>
        <w:widowControl/>
        <w:spacing w:line="578" w:lineRule="exact"/>
        <w:jc w:val="left"/>
        <w:rPr>
          <w:rFonts w:ascii="仿宋_GB2312" w:hAnsi="宋体" w:eastAsia="仿宋_GB2312" w:cs="宋体"/>
          <w:b/>
          <w:kern w:val="0"/>
          <w:sz w:val="20"/>
          <w:szCs w:val="20"/>
        </w:rPr>
      </w:pPr>
    </w:p>
    <w:p>
      <w:pPr>
        <w:rPr>
          <w:rFonts w:ascii="仿宋_GB2312" w:hAnsi="仿宋" w:eastAsia="仿宋_GB2312"/>
          <w:sz w:val="20"/>
          <w:szCs w:val="20"/>
        </w:rPr>
      </w:pPr>
    </w:p>
    <w:p>
      <w:pPr>
        <w:rPr>
          <w:rFonts w:ascii="仿宋_GB2312" w:eastAsia="仿宋_GB2312"/>
          <w:sz w:val="20"/>
          <w:szCs w:val="20"/>
        </w:rPr>
      </w:pPr>
    </w:p>
    <w:sectPr>
      <w:footerReference r:id="rId3" w:type="default"/>
      <w:pgSz w:w="11906" w:h="16838"/>
      <w:pgMar w:top="1588" w:right="175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1346811"/>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4MDRmYmMwOWZlODgzNTMxZGY3ZWJkZDJmZWE5MTUifQ=="/>
  </w:docVars>
  <w:rsids>
    <w:rsidRoot w:val="00B42A11"/>
    <w:rsid w:val="00070C75"/>
    <w:rsid w:val="000D33BD"/>
    <w:rsid w:val="00127D0E"/>
    <w:rsid w:val="00177F26"/>
    <w:rsid w:val="002D1EBD"/>
    <w:rsid w:val="00324B88"/>
    <w:rsid w:val="003E3CA4"/>
    <w:rsid w:val="0048748C"/>
    <w:rsid w:val="00521F66"/>
    <w:rsid w:val="0053364C"/>
    <w:rsid w:val="005E59D3"/>
    <w:rsid w:val="006A7BE0"/>
    <w:rsid w:val="006C3725"/>
    <w:rsid w:val="007C68B3"/>
    <w:rsid w:val="00843B47"/>
    <w:rsid w:val="00855475"/>
    <w:rsid w:val="008A539B"/>
    <w:rsid w:val="00A42234"/>
    <w:rsid w:val="00A532CA"/>
    <w:rsid w:val="00AA0046"/>
    <w:rsid w:val="00AC384E"/>
    <w:rsid w:val="00AD72DE"/>
    <w:rsid w:val="00B2682E"/>
    <w:rsid w:val="00B36F15"/>
    <w:rsid w:val="00B42A11"/>
    <w:rsid w:val="00B706C9"/>
    <w:rsid w:val="00B8456C"/>
    <w:rsid w:val="00BA3DC7"/>
    <w:rsid w:val="00BC59B3"/>
    <w:rsid w:val="00C93BD1"/>
    <w:rsid w:val="00E55A9D"/>
    <w:rsid w:val="00E62847"/>
    <w:rsid w:val="00E6583B"/>
    <w:rsid w:val="00E76307"/>
    <w:rsid w:val="00E900AB"/>
    <w:rsid w:val="00F20805"/>
    <w:rsid w:val="00F25AC9"/>
    <w:rsid w:val="00F4531A"/>
    <w:rsid w:val="00FB1C26"/>
    <w:rsid w:val="00FE5DCC"/>
    <w:rsid w:val="73376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szCs w:val="24"/>
    </w:rPr>
  </w:style>
  <w:style w:type="character" w:styleId="7">
    <w:name w:val="Strong"/>
    <w:basedOn w:val="6"/>
    <w:qFormat/>
    <w:uiPriority w:val="22"/>
    <w:rPr>
      <w:b/>
      <w:bCs/>
    </w:rPr>
  </w:style>
  <w:style w:type="character" w:customStyle="1" w:styleId="8">
    <w:name w:val="页脚 Char"/>
    <w:basedOn w:val="6"/>
    <w:link w:val="2"/>
    <w:qFormat/>
    <w:uiPriority w:val="99"/>
    <w:rPr>
      <w:sz w:val="18"/>
      <w:szCs w:val="18"/>
    </w:rPr>
  </w:style>
  <w:style w:type="character" w:customStyle="1" w:styleId="9">
    <w:name w:val="页眉 Char"/>
    <w:basedOn w:val="6"/>
    <w:link w:val="3"/>
    <w:semiHidden/>
    <w:qFormat/>
    <w:uiPriority w:val="99"/>
    <w:rPr>
      <w:sz w:val="18"/>
      <w:szCs w:val="18"/>
    </w:rPr>
  </w:style>
  <w:style w:type="paragraph" w:customStyle="1" w:styleId="10">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9727</Words>
  <Characters>10271</Characters>
  <Lines>79</Lines>
  <Paragraphs>22</Paragraphs>
  <TotalTime>73</TotalTime>
  <ScaleCrop>false</ScaleCrop>
  <LinksUpToDate>false</LinksUpToDate>
  <CharactersWithSpaces>10392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2022-04-13T01:55:00Z</dcterms:created>
  <dc:creator>Administrator</dc:creator>
  <cp:lastModifiedBy>！</cp:lastModifiedBy>
  <cp:lastPrinted>2022-04-14T00:03:00Z</cp:lastPrinted>
  <dcterms:modified xsi:type="dcterms:W3CDTF">2022-07-29T02:47:05Z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695E2DE3192C4F6896B30C76152A112A</vt:lpwstr>
  </property>
</Properties>
</file>