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仿宋" w:hAnsi="仿宋" w:eastAsia="仿宋" w:cs="仿宋"/>
          <w:b w:val="0"/>
          <w:bCs w:val="0"/>
          <w:kern w:val="0"/>
          <w:sz w:val="44"/>
          <w:szCs w:val="44"/>
          <w:lang w:eastAsia="zh-CN"/>
        </w:rPr>
      </w:pPr>
      <w:r>
        <w:rPr>
          <w:rFonts w:hint="eastAsia" w:ascii="仿宋" w:hAnsi="仿宋" w:eastAsia="仿宋" w:cs="仿宋"/>
          <w:b w:val="0"/>
          <w:bCs w:val="0"/>
          <w:kern w:val="0"/>
          <w:sz w:val="44"/>
          <w:szCs w:val="44"/>
        </w:rPr>
        <w:t>辰溪县自然资源</w:t>
      </w:r>
      <w:r>
        <w:rPr>
          <w:rFonts w:hint="eastAsia" w:ascii="仿宋" w:hAnsi="仿宋" w:eastAsia="仿宋" w:cs="仿宋"/>
          <w:b w:val="0"/>
          <w:bCs w:val="0"/>
          <w:kern w:val="0"/>
          <w:sz w:val="44"/>
          <w:szCs w:val="44"/>
          <w:lang w:eastAsia="zh-CN"/>
        </w:rPr>
        <w:t>局</w:t>
      </w:r>
    </w:p>
    <w:p>
      <w:pPr>
        <w:adjustRightInd w:val="0"/>
        <w:snapToGrid w:val="0"/>
        <w:spacing w:line="520" w:lineRule="exact"/>
        <w:jc w:val="center"/>
        <w:rPr>
          <w:rFonts w:hint="eastAsia" w:ascii="仿宋" w:hAnsi="仿宋" w:eastAsia="仿宋" w:cs="仿宋"/>
          <w:b w:val="0"/>
          <w:bCs w:val="0"/>
          <w:kern w:val="0"/>
          <w:sz w:val="44"/>
          <w:szCs w:val="44"/>
        </w:rPr>
      </w:pPr>
      <w:r>
        <w:rPr>
          <w:rFonts w:hint="eastAsia" w:ascii="仿宋" w:hAnsi="仿宋" w:eastAsia="仿宋" w:cs="仿宋"/>
          <w:b w:val="0"/>
          <w:bCs w:val="0"/>
          <w:kern w:val="0"/>
          <w:sz w:val="44"/>
          <w:szCs w:val="44"/>
        </w:rPr>
        <w:t>202</w:t>
      </w:r>
      <w:r>
        <w:rPr>
          <w:rFonts w:hint="eastAsia" w:ascii="仿宋" w:hAnsi="仿宋" w:eastAsia="仿宋" w:cs="仿宋"/>
          <w:b w:val="0"/>
          <w:bCs w:val="0"/>
          <w:kern w:val="0"/>
          <w:sz w:val="44"/>
          <w:szCs w:val="44"/>
          <w:lang w:val="en-US" w:eastAsia="zh-CN"/>
        </w:rPr>
        <w:t>3</w:t>
      </w:r>
      <w:r>
        <w:rPr>
          <w:rFonts w:hint="eastAsia" w:ascii="仿宋" w:hAnsi="仿宋" w:eastAsia="仿宋" w:cs="仿宋"/>
          <w:b w:val="0"/>
          <w:bCs w:val="0"/>
          <w:kern w:val="0"/>
          <w:sz w:val="44"/>
          <w:szCs w:val="44"/>
        </w:rPr>
        <w:t>年度部门整体支出绩效评价报告</w:t>
      </w:r>
    </w:p>
    <w:p>
      <w:pPr>
        <w:adjustRightInd w:val="0"/>
        <w:snapToGrid w:val="0"/>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一、部门基本情况</w:t>
      </w:r>
    </w:p>
    <w:p>
      <w:p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（一）部门职能与机构设置</w:t>
      </w:r>
    </w:p>
    <w:p>
      <w:p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（1）、部门职能</w:t>
      </w:r>
    </w:p>
    <w:p>
      <w:pPr>
        <w:pStyle w:val="5"/>
        <w:spacing w:before="0" w:beforeAutospacing="0" w:after="225" w:afterAutospacing="0" w:line="510" w:lineRule="atLeast"/>
        <w:ind w:firstLine="480"/>
        <w:jc w:val="both"/>
        <w:rPr>
          <w:rFonts w:hint="eastAsia" w:ascii="仿宋" w:hAnsi="仿宋" w:eastAsia="仿宋" w:cs="仿宋"/>
          <w:color w:val="3D3D3D"/>
          <w:sz w:val="32"/>
          <w:szCs w:val="32"/>
        </w:rPr>
      </w:pPr>
      <w:r>
        <w:rPr>
          <w:rFonts w:hint="eastAsia" w:ascii="仿宋" w:hAnsi="仿宋" w:eastAsia="仿宋" w:cs="仿宋"/>
          <w:color w:val="3D3D3D"/>
          <w:sz w:val="32"/>
          <w:szCs w:val="32"/>
        </w:rPr>
        <w:t>贯彻实施国家、省、市有关土地资源、矿产资源等自然资源和测绘管理的规章、办法，依照规定负责有关行政复议；研究拟定管理、保护与合理利用土地、矿产资源等自然资源和测绘管理的规章、办法，依照规定负责有关行政复议；负责建立空间规划体系并监督实施；负责空间生态修复；负责地灾预防和整理；推动自然资源和规划领域科学技术发展；贯彻实施土地、</w:t>
      </w:r>
      <w:r>
        <w:rPr>
          <w:rFonts w:hint="eastAsia" w:ascii="仿宋" w:hAnsi="仿宋" w:eastAsia="仿宋" w:cs="仿宋"/>
          <w:color w:val="3D3D3D"/>
          <w:sz w:val="32"/>
          <w:szCs w:val="32"/>
          <w:lang w:eastAsia="zh-CN"/>
        </w:rPr>
        <w:t>矿</w:t>
      </w:r>
      <w:r>
        <w:rPr>
          <w:rFonts w:hint="eastAsia" w:ascii="仿宋" w:hAnsi="仿宋" w:eastAsia="仿宋" w:cs="仿宋"/>
          <w:color w:val="3D3D3D"/>
          <w:sz w:val="32"/>
          <w:szCs w:val="32"/>
        </w:rPr>
        <w:t>产资源、测绘管理的技术标准、规程、规范和办法。负责组织城市总体规划负责战略研究，提出统筹城乡规划、促进两型社会建设建议，负责组织城镇体系规划、总体规划、详细规划的审查及报批工作；负责城市规划区建设项目选址、设计和建筑工程设计方案审查；完成县委、县政府交办的其他任务。</w:t>
      </w:r>
    </w:p>
    <w:p>
      <w:p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（2）机构设置</w:t>
      </w:r>
    </w:p>
    <w:p>
      <w:pPr>
        <w:numPr>
          <w:ilvl w:val="0"/>
          <w:numId w:val="0"/>
        </w:numPr>
        <w:adjustRightInd w:val="0"/>
        <w:snapToGrid w:val="0"/>
        <w:spacing w:line="520" w:lineRule="exact"/>
        <w:ind w:firstLine="640" w:firstLineChars="200"/>
        <w:rPr>
          <w:rFonts w:hint="eastAsia" w:ascii="仿宋" w:hAnsi="仿宋" w:eastAsia="仿宋" w:cs="仿宋"/>
          <w:b w:val="0"/>
          <w:bCs w:val="0"/>
          <w:kern w:val="0"/>
          <w:sz w:val="30"/>
          <w:szCs w:val="30"/>
        </w:rPr>
      </w:pPr>
      <w:r>
        <w:rPr>
          <w:rFonts w:hint="eastAsia" w:ascii="仿宋" w:hAnsi="仿宋" w:eastAsia="仿宋" w:cs="仿宋"/>
          <w:color w:val="3D3D3D"/>
          <w:sz w:val="32"/>
          <w:szCs w:val="32"/>
        </w:rPr>
        <w:t>自然资源局作为一级部门预算单位，内设8个股室（办公室（人事财务股）、行政审批股（法规股）、自然资源调查</w:t>
      </w:r>
      <w:r>
        <w:rPr>
          <w:rFonts w:hint="eastAsia" w:ascii="仿宋" w:hAnsi="仿宋" w:eastAsia="仿宋" w:cs="仿宋"/>
          <w:color w:val="3D3D3D"/>
          <w:sz w:val="32"/>
          <w:szCs w:val="32"/>
          <w:lang w:eastAsia="zh-CN"/>
        </w:rPr>
        <w:t>确</w:t>
      </w:r>
      <w:r>
        <w:rPr>
          <w:rFonts w:hint="eastAsia" w:ascii="仿宋" w:hAnsi="仿宋" w:eastAsia="仿宋" w:cs="仿宋"/>
          <w:color w:val="3D3D3D"/>
          <w:sz w:val="32"/>
          <w:szCs w:val="32"/>
        </w:rPr>
        <w:t>权股、自然资源管理和利用股、</w:t>
      </w:r>
      <w:r>
        <w:rPr>
          <w:rFonts w:hint="eastAsia" w:ascii="仿宋" w:hAnsi="仿宋" w:eastAsia="仿宋" w:cs="仿宋"/>
          <w:color w:val="3D3D3D"/>
          <w:sz w:val="32"/>
          <w:szCs w:val="32"/>
          <w:lang w:eastAsia="zh-CN"/>
        </w:rPr>
        <w:t>国土</w:t>
      </w:r>
      <w:r>
        <w:rPr>
          <w:rFonts w:hint="eastAsia" w:ascii="仿宋" w:hAnsi="仿宋" w:eastAsia="仿宋" w:cs="仿宋"/>
          <w:color w:val="3D3D3D"/>
          <w:sz w:val="32"/>
          <w:szCs w:val="32"/>
        </w:rPr>
        <w:t>空间规划股、工程规划管理股、国土空间用途管制和耕</w:t>
      </w:r>
      <w:r>
        <w:rPr>
          <w:rFonts w:hint="eastAsia" w:ascii="仿宋" w:hAnsi="仿宋" w:eastAsia="仿宋" w:cs="仿宋"/>
          <w:color w:val="3D3D3D"/>
          <w:sz w:val="32"/>
          <w:szCs w:val="32"/>
          <w:lang w:eastAsia="zh-CN"/>
        </w:rPr>
        <w:t>地</w:t>
      </w:r>
      <w:r>
        <w:rPr>
          <w:rFonts w:hint="eastAsia" w:ascii="仿宋" w:hAnsi="仿宋" w:eastAsia="仿宋" w:cs="仿宋"/>
          <w:color w:val="3D3D3D"/>
          <w:sz w:val="32"/>
          <w:szCs w:val="32"/>
        </w:rPr>
        <w:t>保</w:t>
      </w:r>
      <w:r>
        <w:rPr>
          <w:rFonts w:hint="eastAsia" w:ascii="仿宋" w:hAnsi="仿宋" w:eastAsia="仿宋" w:cs="仿宋"/>
          <w:color w:val="3D3D3D"/>
          <w:sz w:val="32"/>
          <w:szCs w:val="32"/>
          <w:lang w:eastAsia="zh-CN"/>
        </w:rPr>
        <w:t>护</w:t>
      </w:r>
      <w:r>
        <w:rPr>
          <w:rFonts w:hint="eastAsia" w:ascii="仿宋" w:hAnsi="仿宋" w:eastAsia="仿宋" w:cs="仿宋"/>
          <w:color w:val="3D3D3D"/>
          <w:sz w:val="32"/>
          <w:szCs w:val="32"/>
        </w:rPr>
        <w:t>股、地</w:t>
      </w:r>
      <w:r>
        <w:rPr>
          <w:rFonts w:hint="eastAsia" w:ascii="仿宋" w:hAnsi="仿宋" w:eastAsia="仿宋" w:cs="仿宋"/>
          <w:color w:val="3D3D3D"/>
          <w:sz w:val="32"/>
          <w:szCs w:val="32"/>
          <w:lang w:eastAsia="zh-CN"/>
        </w:rPr>
        <w:t>质</w:t>
      </w:r>
      <w:r>
        <w:rPr>
          <w:rFonts w:hint="eastAsia" w:ascii="仿宋" w:hAnsi="仿宋" w:eastAsia="仿宋" w:cs="仿宋"/>
          <w:color w:val="3D3D3D"/>
          <w:sz w:val="32"/>
          <w:szCs w:val="32"/>
        </w:rPr>
        <w:t>矿产管理股），六个基层国土资源所，</w:t>
      </w:r>
      <w:r>
        <w:rPr>
          <w:rFonts w:hint="eastAsia" w:ascii="仿宋" w:hAnsi="仿宋" w:eastAsia="仿宋" w:cs="仿宋"/>
          <w:color w:val="3D3D3D"/>
          <w:sz w:val="32"/>
          <w:szCs w:val="32"/>
          <w:lang w:val="en-US" w:eastAsia="zh-CN"/>
        </w:rPr>
        <w:t>5</w:t>
      </w:r>
      <w:r>
        <w:rPr>
          <w:rFonts w:hint="eastAsia" w:ascii="仿宋" w:hAnsi="仿宋" w:eastAsia="仿宋" w:cs="仿宋"/>
          <w:color w:val="3D3D3D"/>
          <w:sz w:val="32"/>
          <w:szCs w:val="32"/>
        </w:rPr>
        <w:t>个二级机构：（1）</w:t>
      </w:r>
      <w:r>
        <w:rPr>
          <w:rFonts w:hint="eastAsia" w:ascii="仿宋" w:hAnsi="仿宋" w:eastAsia="仿宋" w:cs="仿宋"/>
          <w:color w:val="3D3D3D"/>
          <w:sz w:val="32"/>
          <w:szCs w:val="32"/>
          <w:lang w:eastAsia="zh-CN"/>
        </w:rPr>
        <w:t>辰溪县自然资源行政执法大队</w:t>
      </w:r>
      <w:r>
        <w:rPr>
          <w:rFonts w:hint="eastAsia" w:ascii="仿宋" w:hAnsi="仿宋" w:eastAsia="仿宋" w:cs="仿宋"/>
          <w:color w:val="3D3D3D"/>
          <w:sz w:val="32"/>
          <w:szCs w:val="32"/>
        </w:rPr>
        <w:t>，（2）</w:t>
      </w:r>
      <w:r>
        <w:rPr>
          <w:rFonts w:hint="eastAsia" w:ascii="仿宋" w:hAnsi="仿宋" w:eastAsia="仿宋" w:cs="仿宋"/>
          <w:color w:val="3D3D3D"/>
          <w:sz w:val="32"/>
          <w:szCs w:val="32"/>
          <w:lang w:eastAsia="zh-CN"/>
        </w:rPr>
        <w:t>辰溪县</w:t>
      </w:r>
      <w:r>
        <w:rPr>
          <w:rFonts w:hint="eastAsia" w:ascii="仿宋" w:hAnsi="仿宋" w:eastAsia="仿宋" w:cs="仿宋"/>
          <w:color w:val="3D3D3D"/>
          <w:sz w:val="32"/>
          <w:szCs w:val="32"/>
        </w:rPr>
        <w:t>土地储备中心（3）</w:t>
      </w:r>
      <w:r>
        <w:rPr>
          <w:rFonts w:hint="eastAsia" w:ascii="仿宋" w:hAnsi="仿宋" w:eastAsia="仿宋" w:cs="仿宋"/>
          <w:color w:val="3D3D3D"/>
          <w:sz w:val="32"/>
          <w:szCs w:val="32"/>
          <w:lang w:eastAsia="zh-CN"/>
        </w:rPr>
        <w:t>辰溪县自然资源生态修复</w:t>
      </w:r>
      <w:r>
        <w:rPr>
          <w:rFonts w:hint="eastAsia" w:ascii="仿宋" w:hAnsi="仿宋" w:eastAsia="仿宋" w:cs="仿宋"/>
          <w:color w:val="3D3D3D"/>
          <w:sz w:val="32"/>
          <w:szCs w:val="32"/>
        </w:rPr>
        <w:t>中心，（</w:t>
      </w:r>
      <w:r>
        <w:rPr>
          <w:rFonts w:hint="eastAsia" w:ascii="仿宋" w:hAnsi="仿宋" w:eastAsia="仿宋" w:cs="仿宋"/>
          <w:color w:val="3D3D3D"/>
          <w:sz w:val="32"/>
          <w:szCs w:val="32"/>
          <w:lang w:val="en-US" w:eastAsia="zh-CN"/>
        </w:rPr>
        <w:t>4</w:t>
      </w:r>
      <w:r>
        <w:rPr>
          <w:rFonts w:hint="eastAsia" w:ascii="仿宋" w:hAnsi="仿宋" w:eastAsia="仿宋" w:cs="仿宋"/>
          <w:color w:val="3D3D3D"/>
          <w:sz w:val="32"/>
          <w:szCs w:val="32"/>
        </w:rPr>
        <w:t>）不动产登记中心、（</w:t>
      </w:r>
      <w:r>
        <w:rPr>
          <w:rFonts w:hint="eastAsia" w:ascii="仿宋" w:hAnsi="仿宋" w:eastAsia="仿宋" w:cs="仿宋"/>
          <w:color w:val="3D3D3D"/>
          <w:sz w:val="32"/>
          <w:szCs w:val="32"/>
          <w:lang w:val="en-US" w:eastAsia="zh-CN"/>
        </w:rPr>
        <w:t>5</w:t>
      </w:r>
      <w:r>
        <w:rPr>
          <w:rFonts w:hint="eastAsia" w:ascii="仿宋" w:hAnsi="仿宋" w:eastAsia="仿宋" w:cs="仿宋"/>
          <w:color w:val="3D3D3D"/>
          <w:sz w:val="32"/>
          <w:szCs w:val="32"/>
        </w:rPr>
        <w:t>）</w:t>
      </w:r>
      <w:r>
        <w:rPr>
          <w:rFonts w:hint="eastAsia" w:ascii="仿宋" w:hAnsi="仿宋" w:eastAsia="仿宋" w:cs="仿宋"/>
          <w:color w:val="3D3D3D"/>
          <w:sz w:val="32"/>
          <w:szCs w:val="32"/>
          <w:lang w:eastAsia="zh-CN"/>
        </w:rPr>
        <w:t>辰溪县自然资源技术</w:t>
      </w:r>
      <w:bookmarkStart w:id="1" w:name="_GoBack"/>
      <w:bookmarkEnd w:id="1"/>
      <w:r>
        <w:rPr>
          <w:rFonts w:hint="eastAsia" w:ascii="仿宋" w:hAnsi="仿宋" w:eastAsia="仿宋" w:cs="仿宋"/>
          <w:color w:val="3D3D3D"/>
          <w:sz w:val="32"/>
          <w:szCs w:val="32"/>
          <w:lang w:eastAsia="zh-CN"/>
        </w:rPr>
        <w:t>服务中心</w:t>
      </w:r>
      <w:r>
        <w:rPr>
          <w:rFonts w:hint="eastAsia" w:ascii="仿宋" w:hAnsi="仿宋" w:eastAsia="仿宋" w:cs="仿宋"/>
          <w:b w:val="0"/>
          <w:bCs w:val="0"/>
          <w:sz w:val="30"/>
          <w:szCs w:val="30"/>
        </w:rPr>
        <w:t xml:space="preserve"> </w:t>
      </w:r>
    </w:p>
    <w:p>
      <w:pPr>
        <w:spacing w:line="520" w:lineRule="exact"/>
        <w:ind w:firstLine="600" w:firstLineChars="200"/>
        <w:jc w:val="left"/>
        <w:rPr>
          <w:rFonts w:hint="eastAsia" w:ascii="仿宋" w:hAnsi="仿宋" w:eastAsia="仿宋" w:cs="仿宋"/>
          <w:b w:val="0"/>
          <w:bCs w:val="0"/>
          <w:kern w:val="0"/>
          <w:sz w:val="30"/>
          <w:szCs w:val="30"/>
          <w:lang w:eastAsia="zh-CN"/>
        </w:rPr>
      </w:pPr>
      <w:r>
        <w:rPr>
          <w:rFonts w:hint="eastAsia" w:ascii="仿宋" w:hAnsi="仿宋" w:eastAsia="仿宋" w:cs="仿宋"/>
          <w:b w:val="0"/>
          <w:bCs w:val="0"/>
          <w:kern w:val="0"/>
          <w:sz w:val="30"/>
          <w:szCs w:val="30"/>
        </w:rPr>
        <w:t>二、</w:t>
      </w:r>
      <w:r>
        <w:rPr>
          <w:rFonts w:hint="eastAsia" w:ascii="仿宋" w:hAnsi="仿宋" w:eastAsia="仿宋" w:cs="仿宋"/>
          <w:b w:val="0"/>
          <w:bCs w:val="0"/>
          <w:kern w:val="0"/>
          <w:sz w:val="30"/>
          <w:szCs w:val="30"/>
          <w:lang w:eastAsia="zh-CN"/>
        </w:rPr>
        <w:t>一般公共预算支出情况</w:t>
      </w:r>
    </w:p>
    <w:p>
      <w:pPr>
        <w:spacing w:line="520" w:lineRule="exact"/>
        <w:rPr>
          <w:rFonts w:hint="eastAsia" w:ascii="仿宋" w:hAnsi="仿宋" w:eastAsia="仿宋" w:cs="仿宋"/>
          <w:b w:val="0"/>
          <w:bCs w:val="0"/>
          <w:color w:val="000000"/>
          <w:sz w:val="30"/>
          <w:szCs w:val="30"/>
          <w:lang w:eastAsia="zh-CN"/>
        </w:rPr>
      </w:pPr>
      <w:r>
        <w:rPr>
          <w:rFonts w:hint="eastAsia" w:ascii="仿宋" w:hAnsi="仿宋" w:eastAsia="仿宋" w:cs="仿宋"/>
          <w:b w:val="0"/>
          <w:bCs w:val="0"/>
          <w:kern w:val="0"/>
          <w:sz w:val="30"/>
          <w:szCs w:val="30"/>
        </w:rPr>
        <w:t xml:space="preserve"> </w:t>
      </w:r>
      <w:r>
        <w:rPr>
          <w:rFonts w:hint="eastAsia" w:ascii="仿宋" w:hAnsi="仿宋" w:eastAsia="仿宋" w:cs="仿宋"/>
          <w:b w:val="0"/>
          <w:bCs w:val="0"/>
          <w:kern w:val="0"/>
          <w:sz w:val="30"/>
          <w:szCs w:val="30"/>
          <w:lang w:val="en-US" w:eastAsia="zh-CN"/>
        </w:rPr>
        <w:t xml:space="preserve">   （一）、</w:t>
      </w:r>
      <w:r>
        <w:rPr>
          <w:rFonts w:hint="eastAsia" w:ascii="仿宋" w:hAnsi="仿宋" w:eastAsia="仿宋" w:cs="仿宋"/>
          <w:b w:val="0"/>
          <w:bCs w:val="0"/>
          <w:color w:val="000000"/>
          <w:sz w:val="30"/>
          <w:szCs w:val="30"/>
          <w:lang w:eastAsia="zh-CN"/>
        </w:rPr>
        <w:t>基本支出情况</w:t>
      </w:r>
    </w:p>
    <w:p>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1.收入支出预算安排情况</w:t>
      </w:r>
    </w:p>
    <w:p>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年部门年初预算总收入为</w:t>
      </w:r>
      <w:r>
        <w:rPr>
          <w:rFonts w:hint="eastAsia" w:ascii="仿宋" w:hAnsi="仿宋" w:eastAsia="仿宋" w:cs="仿宋"/>
          <w:b w:val="0"/>
          <w:bCs w:val="0"/>
          <w:color w:val="000000"/>
          <w:sz w:val="30"/>
          <w:szCs w:val="30"/>
          <w:lang w:val="en-US" w:eastAsia="zh-CN"/>
        </w:rPr>
        <w:t>1156.28</w:t>
      </w:r>
      <w:r>
        <w:rPr>
          <w:rFonts w:hint="eastAsia" w:ascii="仿宋" w:hAnsi="仿宋" w:eastAsia="仿宋" w:cs="仿宋"/>
          <w:b w:val="0"/>
          <w:bCs w:val="0"/>
          <w:color w:val="000000"/>
          <w:sz w:val="30"/>
          <w:szCs w:val="30"/>
        </w:rPr>
        <w:t>万元，其中财政拨款</w:t>
      </w:r>
      <w:r>
        <w:rPr>
          <w:rFonts w:hint="eastAsia" w:ascii="仿宋" w:hAnsi="仿宋" w:eastAsia="仿宋" w:cs="仿宋"/>
          <w:b w:val="0"/>
          <w:bCs w:val="0"/>
          <w:color w:val="000000"/>
          <w:sz w:val="30"/>
          <w:szCs w:val="30"/>
          <w:lang w:val="en-US" w:eastAsia="zh-CN"/>
        </w:rPr>
        <w:t>1156.28</w:t>
      </w:r>
      <w:r>
        <w:rPr>
          <w:rFonts w:hint="eastAsia" w:ascii="仿宋" w:hAnsi="仿宋" w:eastAsia="仿宋" w:cs="仿宋"/>
          <w:b w:val="0"/>
          <w:bCs w:val="0"/>
          <w:color w:val="000000"/>
          <w:sz w:val="30"/>
          <w:szCs w:val="30"/>
        </w:rPr>
        <w:t>万元。</w:t>
      </w:r>
    </w:p>
    <w:p>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年部门年初预算总支出</w:t>
      </w:r>
      <w:r>
        <w:rPr>
          <w:rFonts w:hint="eastAsia" w:ascii="仿宋" w:hAnsi="仿宋" w:eastAsia="仿宋" w:cs="仿宋"/>
          <w:b w:val="0"/>
          <w:bCs w:val="0"/>
          <w:color w:val="000000"/>
          <w:sz w:val="30"/>
          <w:szCs w:val="30"/>
          <w:lang w:val="en-US" w:eastAsia="zh-CN"/>
        </w:rPr>
        <w:t>1156.28</w:t>
      </w:r>
      <w:r>
        <w:rPr>
          <w:rFonts w:hint="eastAsia" w:ascii="仿宋" w:hAnsi="仿宋" w:eastAsia="仿宋" w:cs="仿宋"/>
          <w:b w:val="0"/>
          <w:bCs w:val="0"/>
          <w:color w:val="000000"/>
          <w:sz w:val="30"/>
          <w:szCs w:val="30"/>
        </w:rPr>
        <w:t>万元，其中基本支出预算数</w:t>
      </w:r>
      <w:r>
        <w:rPr>
          <w:rFonts w:hint="eastAsia" w:ascii="仿宋" w:hAnsi="仿宋" w:eastAsia="仿宋" w:cs="仿宋"/>
          <w:b w:val="0"/>
          <w:bCs w:val="0"/>
          <w:color w:val="000000"/>
          <w:sz w:val="30"/>
          <w:szCs w:val="30"/>
          <w:lang w:val="en-US" w:eastAsia="zh-CN"/>
        </w:rPr>
        <w:t>1156.28</w:t>
      </w:r>
      <w:r>
        <w:rPr>
          <w:rFonts w:hint="eastAsia" w:ascii="仿宋" w:hAnsi="仿宋" w:eastAsia="仿宋" w:cs="仿宋"/>
          <w:b w:val="0"/>
          <w:bCs w:val="0"/>
          <w:color w:val="000000"/>
          <w:sz w:val="30"/>
          <w:szCs w:val="30"/>
        </w:rPr>
        <w:t>万元。</w:t>
      </w:r>
    </w:p>
    <w:p>
      <w:pPr>
        <w:spacing w:line="520" w:lineRule="exact"/>
        <w:ind w:firstLine="450" w:firstLineChars="15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2.收入支出预算执行情况</w:t>
      </w:r>
    </w:p>
    <w:p>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年部门决算总收入为</w:t>
      </w:r>
      <w:r>
        <w:rPr>
          <w:rFonts w:hint="eastAsia" w:ascii="仿宋" w:hAnsi="仿宋" w:eastAsia="仿宋" w:cs="仿宋"/>
          <w:b w:val="0"/>
          <w:bCs w:val="0"/>
          <w:color w:val="000000"/>
          <w:sz w:val="30"/>
          <w:szCs w:val="30"/>
          <w:lang w:val="en-US" w:eastAsia="zh-CN"/>
        </w:rPr>
        <w:t>5173.59</w:t>
      </w:r>
      <w:r>
        <w:rPr>
          <w:rFonts w:hint="eastAsia" w:ascii="仿宋" w:hAnsi="仿宋" w:eastAsia="仿宋" w:cs="仿宋"/>
          <w:b w:val="0"/>
          <w:bCs w:val="0"/>
          <w:color w:val="000000"/>
          <w:sz w:val="30"/>
          <w:szCs w:val="30"/>
        </w:rPr>
        <w:t>万元，其中</w:t>
      </w:r>
      <w:r>
        <w:rPr>
          <w:rFonts w:hint="eastAsia" w:ascii="仿宋" w:hAnsi="仿宋" w:eastAsia="仿宋" w:cs="仿宋"/>
          <w:b w:val="0"/>
          <w:bCs w:val="0"/>
          <w:color w:val="000000"/>
          <w:sz w:val="30"/>
          <w:szCs w:val="30"/>
          <w:lang w:eastAsia="zh-CN"/>
        </w:rPr>
        <w:t>一般公共预算</w:t>
      </w:r>
      <w:r>
        <w:rPr>
          <w:rFonts w:hint="eastAsia" w:ascii="仿宋" w:hAnsi="仿宋" w:eastAsia="仿宋" w:cs="仿宋"/>
          <w:b w:val="0"/>
          <w:bCs w:val="0"/>
          <w:color w:val="000000"/>
          <w:sz w:val="30"/>
          <w:szCs w:val="30"/>
        </w:rPr>
        <w:t>财政拨</w:t>
      </w:r>
      <w:r>
        <w:rPr>
          <w:rFonts w:hint="eastAsia" w:ascii="仿宋" w:hAnsi="仿宋" w:eastAsia="仿宋" w:cs="仿宋"/>
          <w:b w:val="0"/>
          <w:bCs w:val="0"/>
          <w:color w:val="000000"/>
          <w:sz w:val="30"/>
          <w:szCs w:val="30"/>
          <w:lang w:val="en-US" w:eastAsia="zh-CN"/>
        </w:rPr>
        <w:t>款4376.88</w:t>
      </w:r>
      <w:r>
        <w:rPr>
          <w:rFonts w:hint="eastAsia" w:ascii="仿宋" w:hAnsi="仿宋" w:eastAsia="仿宋" w:cs="仿宋"/>
          <w:b w:val="0"/>
          <w:bCs w:val="0"/>
          <w:color w:val="000000"/>
          <w:sz w:val="30"/>
          <w:szCs w:val="30"/>
        </w:rPr>
        <w:t>万元</w:t>
      </w:r>
      <w:r>
        <w:rPr>
          <w:rFonts w:hint="eastAsia" w:ascii="仿宋" w:hAnsi="仿宋" w:eastAsia="仿宋" w:cs="仿宋"/>
          <w:b w:val="0"/>
          <w:bCs w:val="0"/>
          <w:color w:val="000000"/>
          <w:sz w:val="30"/>
          <w:szCs w:val="30"/>
          <w:lang w:eastAsia="zh-CN"/>
        </w:rPr>
        <w:t>；政府性基金预算财政拨款</w:t>
      </w:r>
      <w:r>
        <w:rPr>
          <w:rFonts w:hint="eastAsia" w:ascii="仿宋" w:hAnsi="仿宋" w:eastAsia="仿宋" w:cs="仿宋"/>
          <w:b w:val="0"/>
          <w:bCs w:val="0"/>
          <w:color w:val="000000"/>
          <w:sz w:val="30"/>
          <w:szCs w:val="30"/>
          <w:lang w:val="en-US" w:eastAsia="zh-CN"/>
        </w:rPr>
        <w:t>364.93万元；其他收入431.78万元</w:t>
      </w:r>
      <w:r>
        <w:rPr>
          <w:rFonts w:hint="eastAsia" w:ascii="仿宋" w:hAnsi="仿宋" w:eastAsia="仿宋" w:cs="仿宋"/>
          <w:b w:val="0"/>
          <w:bCs w:val="0"/>
          <w:color w:val="000000"/>
          <w:sz w:val="30"/>
          <w:szCs w:val="30"/>
        </w:rPr>
        <w:t>。</w:t>
      </w:r>
    </w:p>
    <w:p>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年部门决算总支出</w:t>
      </w:r>
      <w:r>
        <w:rPr>
          <w:rFonts w:hint="eastAsia" w:ascii="仿宋" w:hAnsi="仿宋" w:eastAsia="仿宋" w:cs="仿宋"/>
          <w:b w:val="0"/>
          <w:bCs w:val="0"/>
          <w:color w:val="000000"/>
          <w:sz w:val="30"/>
          <w:szCs w:val="30"/>
          <w:lang w:val="en-US" w:eastAsia="zh-CN"/>
        </w:rPr>
        <w:t>5173.59</w:t>
      </w:r>
      <w:r>
        <w:rPr>
          <w:rFonts w:hint="eastAsia" w:ascii="仿宋" w:hAnsi="仿宋" w:eastAsia="仿宋" w:cs="仿宋"/>
          <w:b w:val="0"/>
          <w:bCs w:val="0"/>
          <w:color w:val="000000"/>
          <w:sz w:val="30"/>
          <w:szCs w:val="30"/>
        </w:rPr>
        <w:t>万元，其中基本支出决算数</w:t>
      </w:r>
      <w:r>
        <w:rPr>
          <w:rFonts w:hint="eastAsia" w:ascii="仿宋" w:hAnsi="仿宋" w:eastAsia="仿宋" w:cs="仿宋"/>
          <w:b w:val="0"/>
          <w:bCs w:val="0"/>
          <w:color w:val="000000"/>
          <w:sz w:val="30"/>
          <w:szCs w:val="30"/>
          <w:lang w:val="en-US" w:eastAsia="zh-CN"/>
        </w:rPr>
        <w:t>963.76</w:t>
      </w:r>
      <w:r>
        <w:rPr>
          <w:rFonts w:hint="eastAsia" w:ascii="仿宋" w:hAnsi="仿宋" w:eastAsia="仿宋" w:cs="仿宋"/>
          <w:b w:val="0"/>
          <w:bCs w:val="0"/>
          <w:color w:val="000000"/>
          <w:sz w:val="30"/>
          <w:szCs w:val="30"/>
        </w:rPr>
        <w:t>万元，项目支出决算数</w:t>
      </w:r>
      <w:r>
        <w:rPr>
          <w:rFonts w:hint="eastAsia" w:ascii="仿宋" w:hAnsi="仿宋" w:eastAsia="仿宋" w:cs="仿宋"/>
          <w:b w:val="0"/>
          <w:bCs w:val="0"/>
          <w:color w:val="000000"/>
          <w:sz w:val="30"/>
          <w:szCs w:val="30"/>
          <w:lang w:val="en-US" w:eastAsia="zh-CN"/>
        </w:rPr>
        <w:t>4209.83</w:t>
      </w:r>
      <w:r>
        <w:rPr>
          <w:rFonts w:hint="eastAsia" w:ascii="仿宋" w:hAnsi="仿宋" w:eastAsia="仿宋" w:cs="仿宋"/>
          <w:b w:val="0"/>
          <w:bCs w:val="0"/>
          <w:color w:val="000000"/>
          <w:sz w:val="30"/>
          <w:szCs w:val="30"/>
        </w:rPr>
        <w:t>万元。</w:t>
      </w:r>
    </w:p>
    <w:p>
      <w:pPr>
        <w:spacing w:line="520" w:lineRule="exact"/>
        <w:ind w:firstLine="900" w:firstLineChars="3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财政拨款支出主要用于我单位的正常运转、完成日常工作任务以及承担我单位应承担的相关业务工作开展。 </w:t>
      </w:r>
    </w:p>
    <w:p>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一般公共预算财政拨款基本支出</w:t>
      </w:r>
      <w:r>
        <w:rPr>
          <w:rFonts w:hint="eastAsia" w:ascii="仿宋" w:hAnsi="仿宋" w:eastAsia="仿宋" w:cs="仿宋"/>
          <w:b w:val="0"/>
          <w:bCs w:val="0"/>
          <w:color w:val="000000"/>
          <w:sz w:val="30"/>
          <w:szCs w:val="30"/>
          <w:lang w:val="en-US" w:eastAsia="zh-CN"/>
        </w:rPr>
        <w:t>963.76</w:t>
      </w:r>
      <w:r>
        <w:rPr>
          <w:rFonts w:hint="eastAsia" w:ascii="仿宋" w:hAnsi="仿宋" w:eastAsia="仿宋" w:cs="仿宋"/>
          <w:b w:val="0"/>
          <w:bCs w:val="0"/>
          <w:color w:val="000000"/>
          <w:sz w:val="30"/>
          <w:szCs w:val="30"/>
        </w:rPr>
        <w:t>万元，其中人员经费</w:t>
      </w:r>
      <w:r>
        <w:rPr>
          <w:rFonts w:hint="eastAsia" w:ascii="仿宋" w:hAnsi="仿宋" w:eastAsia="仿宋" w:cs="仿宋"/>
          <w:b w:val="0"/>
          <w:bCs w:val="0"/>
          <w:color w:val="000000"/>
          <w:sz w:val="30"/>
          <w:szCs w:val="30"/>
          <w:lang w:val="en-US" w:eastAsia="zh-CN"/>
        </w:rPr>
        <w:t>847.69</w:t>
      </w:r>
      <w:r>
        <w:rPr>
          <w:rFonts w:hint="eastAsia" w:ascii="仿宋" w:hAnsi="仿宋" w:eastAsia="仿宋" w:cs="仿宋"/>
          <w:b w:val="0"/>
          <w:bCs w:val="0"/>
          <w:color w:val="000000"/>
          <w:sz w:val="30"/>
          <w:szCs w:val="30"/>
        </w:rPr>
        <w:t>万元、日常公用</w:t>
      </w:r>
      <w:r>
        <w:rPr>
          <w:rFonts w:hint="eastAsia" w:ascii="仿宋" w:hAnsi="仿宋" w:eastAsia="仿宋" w:cs="仿宋"/>
          <w:b w:val="0"/>
          <w:bCs w:val="0"/>
          <w:color w:val="000000"/>
          <w:sz w:val="30"/>
          <w:szCs w:val="30"/>
          <w:lang w:val="en-US" w:eastAsia="zh-CN"/>
        </w:rPr>
        <w:t>116.07</w:t>
      </w:r>
      <w:r>
        <w:rPr>
          <w:rFonts w:hint="eastAsia" w:ascii="仿宋" w:hAnsi="仿宋" w:eastAsia="仿宋" w:cs="仿宋"/>
          <w:b w:val="0"/>
          <w:bCs w:val="0"/>
          <w:color w:val="000000"/>
          <w:sz w:val="30"/>
          <w:szCs w:val="30"/>
        </w:rPr>
        <w:t>万元，是用于保障</w:t>
      </w:r>
      <w:bookmarkStart w:id="0" w:name="OLE_LINK2"/>
      <w:r>
        <w:rPr>
          <w:rFonts w:hint="eastAsia" w:ascii="仿宋" w:hAnsi="仿宋" w:eastAsia="仿宋" w:cs="仿宋"/>
          <w:b w:val="0"/>
          <w:bCs w:val="0"/>
          <w:color w:val="000000"/>
          <w:sz w:val="30"/>
          <w:szCs w:val="30"/>
        </w:rPr>
        <w:t>单位日常支出，</w:t>
      </w:r>
      <w:bookmarkEnd w:id="0"/>
      <w:r>
        <w:rPr>
          <w:rFonts w:hint="eastAsia" w:ascii="仿宋" w:hAnsi="仿宋" w:eastAsia="仿宋" w:cs="仿宋"/>
          <w:b w:val="0"/>
          <w:bCs w:val="0"/>
          <w:color w:val="000000"/>
          <w:sz w:val="30"/>
          <w:szCs w:val="30"/>
        </w:rPr>
        <w:t>包括基本工资、津贴补贴等人员经费以及办公费、印刷费、水电费、办公设备购置等日常公用经费。</w:t>
      </w:r>
    </w:p>
    <w:p>
      <w:pPr>
        <w:adjustRightInd w:val="0"/>
        <w:snapToGrid w:val="0"/>
        <w:spacing w:line="520" w:lineRule="exact"/>
        <w:ind w:firstLine="600" w:firstLineChars="200"/>
        <w:rPr>
          <w:rFonts w:hint="eastAsia" w:ascii="仿宋" w:hAnsi="仿宋" w:eastAsia="仿宋" w:cs="仿宋"/>
          <w:b w:val="0"/>
          <w:bCs w:val="0"/>
          <w:kern w:val="0"/>
          <w:sz w:val="30"/>
          <w:szCs w:val="30"/>
        </w:rPr>
      </w:pPr>
      <w:r>
        <w:rPr>
          <w:rFonts w:hint="eastAsia" w:ascii="仿宋" w:hAnsi="仿宋" w:eastAsia="仿宋" w:cs="仿宋"/>
          <w:b w:val="0"/>
          <w:bCs w:val="0"/>
          <w:kern w:val="0"/>
          <w:sz w:val="30"/>
          <w:szCs w:val="30"/>
        </w:rPr>
        <w:t>3、“三公”经费预算支出情况</w:t>
      </w:r>
    </w:p>
    <w:p>
      <w:pPr>
        <w:widowControl/>
        <w:spacing w:line="520" w:lineRule="exact"/>
        <w:ind w:firstLine="750" w:firstLineChars="250"/>
        <w:jc w:val="lef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年辰溪县自然资源</w:t>
      </w:r>
      <w:r>
        <w:rPr>
          <w:rFonts w:hint="eastAsia" w:ascii="仿宋" w:hAnsi="仿宋" w:eastAsia="仿宋" w:cs="仿宋"/>
          <w:b w:val="0"/>
          <w:bCs w:val="0"/>
          <w:color w:val="000000"/>
          <w:sz w:val="30"/>
          <w:szCs w:val="30"/>
          <w:lang w:eastAsia="zh-CN"/>
        </w:rPr>
        <w:t>局</w:t>
      </w:r>
      <w:r>
        <w:rPr>
          <w:rFonts w:hint="eastAsia" w:ascii="仿宋" w:hAnsi="仿宋" w:eastAsia="仿宋" w:cs="仿宋"/>
          <w:b w:val="0"/>
          <w:bCs w:val="0"/>
          <w:color w:val="000000"/>
          <w:sz w:val="30"/>
          <w:szCs w:val="30"/>
        </w:rPr>
        <w:t>年初“三公”经费预算数</w:t>
      </w:r>
      <w:r>
        <w:rPr>
          <w:rFonts w:hint="eastAsia" w:ascii="仿宋" w:hAnsi="仿宋" w:eastAsia="仿宋" w:cs="仿宋"/>
          <w:b w:val="0"/>
          <w:bCs w:val="0"/>
          <w:color w:val="000000"/>
          <w:sz w:val="30"/>
          <w:szCs w:val="30"/>
          <w:lang w:val="en-US" w:eastAsia="zh-CN"/>
        </w:rPr>
        <w:t>22</w:t>
      </w:r>
      <w:r>
        <w:rPr>
          <w:rFonts w:hint="eastAsia" w:ascii="仿宋" w:hAnsi="仿宋" w:eastAsia="仿宋" w:cs="仿宋"/>
          <w:b w:val="0"/>
          <w:bCs w:val="0"/>
          <w:color w:val="000000"/>
          <w:sz w:val="30"/>
          <w:szCs w:val="30"/>
        </w:rPr>
        <w:t>万元，“三公”经费支出</w:t>
      </w:r>
      <w:r>
        <w:rPr>
          <w:rFonts w:hint="eastAsia" w:ascii="仿宋" w:hAnsi="仿宋" w:eastAsia="仿宋" w:cs="仿宋"/>
          <w:b w:val="0"/>
          <w:bCs w:val="0"/>
          <w:color w:val="000000"/>
          <w:sz w:val="30"/>
          <w:szCs w:val="30"/>
          <w:lang w:val="en-US" w:eastAsia="zh-CN"/>
        </w:rPr>
        <w:t>15.69</w:t>
      </w:r>
      <w:r>
        <w:rPr>
          <w:rFonts w:hint="eastAsia" w:ascii="仿宋" w:hAnsi="仿宋" w:eastAsia="仿宋" w:cs="仿宋"/>
          <w:b w:val="0"/>
          <w:bCs w:val="0"/>
          <w:color w:val="000000"/>
          <w:sz w:val="30"/>
          <w:szCs w:val="30"/>
        </w:rPr>
        <w:t>万元。</w:t>
      </w:r>
    </w:p>
    <w:p>
      <w:pPr>
        <w:pStyle w:val="2"/>
        <w:numPr>
          <w:ilvl w:val="0"/>
          <w:numId w:val="1"/>
        </w:numPr>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eastAsia="zh-CN"/>
        </w:rPr>
        <w:t>项目支出情况</w:t>
      </w:r>
    </w:p>
    <w:p>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根据上级文件</w:t>
      </w:r>
      <w:r>
        <w:rPr>
          <w:rFonts w:hint="eastAsia" w:ascii="仿宋" w:hAnsi="仿宋" w:eastAsia="仿宋" w:cs="仿宋"/>
          <w:b w:val="0"/>
          <w:bCs/>
          <w:sz w:val="32"/>
          <w:szCs w:val="32"/>
        </w:rPr>
        <w:t>湘财资环[2022]42号1430万元；湘财资环[2022]68号794万元；湘财资环[2022]53号450万元；湘财资环[2023]76号41.23万元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共已下达我县重点自然资源生态保护专项资金2715.23万元，其中中央资金2224万元，省级配套资金491.23万元。目前，已支付1204.376898万元，其中2022年付工程款202.8947万元，2023年付勘查设计及方案编制费295.2万元，付2023年度工程进度款676.282198万元</w:t>
      </w:r>
      <w:r>
        <w:rPr>
          <w:rFonts w:hint="eastAsia" w:ascii="仿宋" w:hAnsi="仿宋" w:eastAsia="仿宋" w:cs="仿宋"/>
          <w:b w:val="0"/>
          <w:bCs/>
          <w:sz w:val="32"/>
          <w:szCs w:val="32"/>
        </w:rPr>
        <w:t>。</w:t>
      </w:r>
    </w:p>
    <w:p>
      <w:pPr>
        <w:pStyle w:val="2"/>
        <w:numPr>
          <w:ilvl w:val="0"/>
          <w:numId w:val="2"/>
        </w:numPr>
        <w:rPr>
          <w:rFonts w:hint="eastAsia" w:ascii="仿宋" w:hAnsi="仿宋" w:eastAsia="仿宋" w:cs="仿宋"/>
          <w:b w:val="0"/>
          <w:bCs w:val="0"/>
          <w:sz w:val="32"/>
          <w:szCs w:val="32"/>
          <w:lang w:eastAsia="zh-CN"/>
        </w:rPr>
      </w:pPr>
      <w:r>
        <w:rPr>
          <w:rFonts w:hint="eastAsia" w:ascii="仿宋" w:hAnsi="仿宋" w:eastAsia="仿宋" w:cs="仿宋"/>
          <w:b w:val="0"/>
          <w:bCs w:val="0"/>
          <w:color w:val="000000"/>
          <w:sz w:val="30"/>
          <w:szCs w:val="30"/>
          <w:lang w:eastAsia="zh-CN"/>
        </w:rPr>
        <w:t>政府性基金预算支出情况</w:t>
      </w:r>
    </w:p>
    <w:p>
      <w:pPr>
        <w:pStyle w:val="2"/>
        <w:numPr>
          <w:ilvl w:val="0"/>
          <w:numId w:val="0"/>
        </w:numPr>
        <w:ind w:firstLine="900" w:firstLineChars="300"/>
        <w:rPr>
          <w:rFonts w:hint="default" w:ascii="仿宋" w:hAnsi="仿宋" w:eastAsia="仿宋" w:cs="仿宋"/>
          <w:b w:val="0"/>
          <w:bCs w:val="0"/>
          <w:sz w:val="32"/>
          <w:szCs w:val="32"/>
          <w:lang w:val="en-US" w:eastAsia="zh-CN"/>
        </w:rPr>
      </w:pPr>
      <w:r>
        <w:rPr>
          <w:rFonts w:hint="eastAsia" w:ascii="仿宋" w:hAnsi="仿宋" w:eastAsia="仿宋" w:cs="仿宋"/>
          <w:b w:val="0"/>
          <w:bCs w:val="0"/>
          <w:color w:val="000000"/>
          <w:sz w:val="30"/>
          <w:szCs w:val="30"/>
          <w:lang w:val="en-US" w:eastAsia="zh-CN"/>
        </w:rPr>
        <w:t xml:space="preserve"> </w:t>
      </w:r>
      <w:r>
        <w:rPr>
          <w:rFonts w:hint="eastAsia" w:ascii="仿宋" w:hAnsi="仿宋" w:eastAsia="仿宋" w:cs="仿宋"/>
          <w:b w:val="0"/>
          <w:bCs w:val="0"/>
          <w:color w:val="000000"/>
          <w:sz w:val="32"/>
          <w:szCs w:val="32"/>
          <w:lang w:val="en-US" w:eastAsia="zh-CN"/>
        </w:rPr>
        <w:t>2023年度政府性基金预算财政拨款收入364.93万元，年初结转和结余0万元，支出364.93万元，其中基本支出0万元，项目支出364.93万元，年末结转和结余0万元。</w:t>
      </w:r>
    </w:p>
    <w:p>
      <w:pPr>
        <w:pStyle w:val="2"/>
        <w:numPr>
          <w:ilvl w:val="0"/>
          <w:numId w:val="2"/>
        </w:numPr>
        <w:ind w:left="0" w:leftChars="0" w:firstLine="600" w:firstLineChars="2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国有资本经营预算支出情况</w:t>
      </w:r>
    </w:p>
    <w:p>
      <w:pPr>
        <w:pStyle w:val="2"/>
        <w:numPr>
          <w:ilvl w:val="0"/>
          <w:numId w:val="0"/>
        </w:numPr>
        <w:ind w:leftChars="200" w:firstLine="6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本部门无国有资本经营安排的支出。</w:t>
      </w:r>
    </w:p>
    <w:p>
      <w:pPr>
        <w:pStyle w:val="2"/>
        <w:numPr>
          <w:ilvl w:val="0"/>
          <w:numId w:val="2"/>
        </w:numPr>
        <w:ind w:left="0" w:leftChars="0" w:firstLine="600" w:firstLineChars="2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社会保险基金预算支出的情况</w:t>
      </w:r>
    </w:p>
    <w:p>
      <w:pPr>
        <w:pStyle w:val="2"/>
        <w:numPr>
          <w:ilvl w:val="0"/>
          <w:numId w:val="0"/>
        </w:numPr>
        <w:ind w:leftChars="200"/>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 xml:space="preserve">    本部门无社会保险基金安排的支出。</w:t>
      </w:r>
    </w:p>
    <w:p>
      <w:pPr>
        <w:spacing w:line="520" w:lineRule="exact"/>
        <w:ind w:left="640"/>
        <w:rPr>
          <w:rFonts w:hint="eastAsia" w:ascii="仿宋" w:hAnsi="仿宋" w:eastAsia="仿宋" w:cs="仿宋"/>
          <w:b w:val="0"/>
          <w:bCs w:val="0"/>
          <w:color w:val="000000"/>
          <w:sz w:val="30"/>
          <w:szCs w:val="30"/>
          <w:lang w:eastAsia="zh-CN"/>
        </w:rPr>
      </w:pPr>
      <w:r>
        <w:rPr>
          <w:rFonts w:hint="eastAsia" w:ascii="仿宋" w:hAnsi="仿宋" w:eastAsia="仿宋" w:cs="仿宋"/>
          <w:b w:val="0"/>
          <w:bCs w:val="0"/>
          <w:kern w:val="0"/>
          <w:sz w:val="30"/>
          <w:szCs w:val="30"/>
          <w:lang w:eastAsia="zh-CN"/>
        </w:rPr>
        <w:t>六</w:t>
      </w:r>
      <w:r>
        <w:rPr>
          <w:rFonts w:hint="eastAsia" w:ascii="仿宋" w:hAnsi="仿宋" w:eastAsia="仿宋" w:cs="仿宋"/>
          <w:b w:val="0"/>
          <w:bCs w:val="0"/>
          <w:kern w:val="0"/>
          <w:sz w:val="30"/>
          <w:szCs w:val="30"/>
        </w:rPr>
        <w:t>、</w:t>
      </w:r>
      <w:r>
        <w:rPr>
          <w:rFonts w:hint="eastAsia" w:ascii="仿宋" w:hAnsi="仿宋" w:eastAsia="仿宋" w:cs="仿宋"/>
          <w:b w:val="0"/>
          <w:bCs w:val="0"/>
          <w:color w:val="000000"/>
          <w:sz w:val="30"/>
          <w:szCs w:val="30"/>
          <w:lang w:eastAsia="zh-CN"/>
        </w:rPr>
        <w:t>部门整体支出绩效情况</w:t>
      </w:r>
    </w:p>
    <w:p>
      <w:pPr>
        <w:pStyle w:val="2"/>
        <w:spacing w:line="520" w:lineRule="exact"/>
        <w:ind w:left="560" w:firstLine="0" w:firstLineChars="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1、部门按“三定”方案中所赋予的职责和年度承担的目标开展工作。</w:t>
      </w:r>
    </w:p>
    <w:p>
      <w:pPr>
        <w:pStyle w:val="2"/>
        <w:spacing w:line="520" w:lineRule="exact"/>
        <w:ind w:left="1" w:firstLineChars="150"/>
        <w:rPr>
          <w:rFonts w:hint="eastAsia" w:ascii="仿宋" w:hAnsi="仿宋" w:eastAsia="仿宋" w:cs="仿宋"/>
          <w:b w:val="0"/>
          <w:bCs w:val="0"/>
          <w:sz w:val="28"/>
          <w:szCs w:val="28"/>
        </w:rPr>
      </w:pPr>
      <w:r>
        <w:rPr>
          <w:rFonts w:hint="eastAsia" w:ascii="仿宋" w:hAnsi="仿宋" w:eastAsia="仿宋" w:cs="仿宋"/>
          <w:b w:val="0"/>
          <w:bCs w:val="0"/>
          <w:kern w:val="0"/>
          <w:sz w:val="28"/>
          <w:szCs w:val="28"/>
        </w:rPr>
        <w:t xml:space="preserve">2、在职责范围之内，部门的活动符合部门中长期规划，部门所设立的活动明确合理、活动的关键性指标设置, 为加强预算管理，规范财务行为，部门制定的管理制度，部门使用预算资金严格按照预算财务管理制度的规定执行。 </w:t>
      </w:r>
    </w:p>
    <w:p>
      <w:pPr>
        <w:pStyle w:val="2"/>
        <w:spacing w:line="520" w:lineRule="exact"/>
        <w:ind w:firstLine="560"/>
        <w:rPr>
          <w:rFonts w:hint="eastAsia" w:ascii="仿宋" w:hAnsi="仿宋" w:eastAsia="仿宋" w:cs="仿宋"/>
          <w:b w:val="0"/>
          <w:bCs w:val="0"/>
          <w:sz w:val="28"/>
          <w:szCs w:val="28"/>
        </w:rPr>
      </w:pPr>
      <w:r>
        <w:rPr>
          <w:rFonts w:hint="eastAsia" w:ascii="仿宋" w:hAnsi="仿宋" w:eastAsia="仿宋" w:cs="仿宋"/>
          <w:b w:val="0"/>
          <w:bCs w:val="0"/>
          <w:kern w:val="0"/>
          <w:sz w:val="28"/>
          <w:szCs w:val="28"/>
        </w:rPr>
        <w:t>3、部门按照政府信息公开有关规定公开相关预决算信息。</w:t>
      </w:r>
    </w:p>
    <w:p>
      <w:pPr>
        <w:pStyle w:val="2"/>
        <w:spacing w:line="520" w:lineRule="exact"/>
        <w:ind w:firstLine="560"/>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4、部门为加强资产管理、规范资产管理行为而制定的管理制度是否健全完整, 部门的资产是否保存完整、使用合规、收入及时足额上缴，</w:t>
      </w:r>
    </w:p>
    <w:p>
      <w:pPr>
        <w:pStyle w:val="2"/>
        <w:spacing w:line="520" w:lineRule="exact"/>
        <w:ind w:firstLine="600"/>
        <w:rPr>
          <w:rFonts w:hint="eastAsia" w:ascii="仿宋" w:hAnsi="仿宋" w:eastAsia="仿宋" w:cs="仿宋"/>
          <w:b w:val="0"/>
          <w:bCs w:val="0"/>
          <w:sz w:val="30"/>
          <w:szCs w:val="30"/>
        </w:rPr>
      </w:pPr>
      <w:r>
        <w:rPr>
          <w:rFonts w:hint="eastAsia" w:ascii="仿宋" w:hAnsi="仿宋" w:eastAsia="仿宋" w:cs="仿宋"/>
          <w:b w:val="0"/>
          <w:bCs w:val="0"/>
          <w:sz w:val="30"/>
          <w:szCs w:val="30"/>
        </w:rPr>
        <w:t>（二）目标任务完成经济效益：全县地下空间的开发利用及城市道路、管线、管网等基础设施的规划。</w:t>
      </w:r>
    </w:p>
    <w:p>
      <w:pPr>
        <w:pStyle w:val="2"/>
        <w:spacing w:line="520" w:lineRule="exact"/>
        <w:ind w:firstLine="6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sz w:val="30"/>
          <w:szCs w:val="30"/>
        </w:rPr>
        <w:t>（三）目标任务完成社会效益：</w:t>
      </w:r>
      <w:r>
        <w:rPr>
          <w:rFonts w:hint="eastAsia" w:ascii="仿宋" w:hAnsi="仿宋" w:eastAsia="仿宋" w:cs="仿宋"/>
          <w:b w:val="0"/>
          <w:bCs w:val="0"/>
          <w:color w:val="000000"/>
          <w:kern w:val="0"/>
          <w:sz w:val="30"/>
          <w:szCs w:val="30"/>
        </w:rPr>
        <w:t>社会对公益事业关注度100%</w:t>
      </w:r>
    </w:p>
    <w:p>
      <w:pPr>
        <w:pStyle w:val="2"/>
        <w:spacing w:line="520" w:lineRule="exact"/>
        <w:ind w:firstLine="6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sz w:val="30"/>
          <w:szCs w:val="30"/>
        </w:rPr>
        <w:t>（四）目标任务完成可持续影响：</w:t>
      </w:r>
      <w:r>
        <w:rPr>
          <w:rFonts w:hint="eastAsia" w:ascii="仿宋" w:hAnsi="仿宋" w:eastAsia="仿宋" w:cs="仿宋"/>
          <w:b w:val="0"/>
          <w:bCs w:val="0"/>
          <w:color w:val="000000"/>
          <w:kern w:val="0"/>
          <w:sz w:val="30"/>
          <w:szCs w:val="30"/>
        </w:rPr>
        <w:t>为国土空间规划管理服务，优化配置和有效利用达标率100%</w:t>
      </w:r>
    </w:p>
    <w:p>
      <w:pPr>
        <w:pStyle w:val="2"/>
        <w:spacing w:line="520" w:lineRule="exact"/>
        <w:ind w:firstLine="6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（五）目标任务完成服务对象满意度：</w:t>
      </w:r>
      <w:r>
        <w:rPr>
          <w:rFonts w:hint="eastAsia" w:ascii="仿宋" w:hAnsi="仿宋" w:eastAsia="仿宋" w:cs="仿宋"/>
          <w:b w:val="0"/>
          <w:bCs w:val="0"/>
          <w:color w:val="000000"/>
          <w:kern w:val="0"/>
          <w:sz w:val="30"/>
          <w:szCs w:val="30"/>
        </w:rPr>
        <w:t>广大群众对公共服务水平满意度率100%</w:t>
      </w:r>
    </w:p>
    <w:p>
      <w:pPr>
        <w:spacing w:line="520" w:lineRule="exact"/>
        <w:ind w:firstLine="450" w:firstLineChars="15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七、存在的问题及原因分析</w:t>
      </w:r>
    </w:p>
    <w:p>
      <w:pPr>
        <w:spacing w:line="520" w:lineRule="exact"/>
        <w:ind w:firstLine="450" w:firstLineChars="15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（一）评价结论</w:t>
      </w:r>
    </w:p>
    <w:p>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根据财政部门的要求，通过对本单位202</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年所有经费收支情况进行自评，对照自评表及评分表认真核查单位的各项财务管理制度及预算的执行情况进行疏理，评价结论如下：</w:t>
      </w:r>
    </w:p>
    <w:p>
      <w:pPr>
        <w:numPr>
          <w:ilvl w:val="0"/>
          <w:numId w:val="3"/>
        </w:numPr>
        <w:spacing w:line="520" w:lineRule="exact"/>
        <w:ind w:firstLine="600" w:firstLineChars="2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sz w:val="30"/>
          <w:szCs w:val="30"/>
        </w:rPr>
        <w:t>单位日常经费支出符合各项财务制度及</w:t>
      </w:r>
      <w:r>
        <w:rPr>
          <w:rFonts w:hint="eastAsia" w:ascii="仿宋" w:hAnsi="仿宋" w:eastAsia="仿宋" w:cs="仿宋"/>
          <w:b w:val="0"/>
          <w:bCs w:val="0"/>
          <w:color w:val="000000"/>
          <w:kern w:val="0"/>
          <w:sz w:val="30"/>
          <w:szCs w:val="30"/>
        </w:rPr>
        <w:t>厉行节约原则，基本能保证单位正常运转及工作开展。</w:t>
      </w:r>
    </w:p>
    <w:p>
      <w:pPr>
        <w:numPr>
          <w:ilvl w:val="0"/>
          <w:numId w:val="3"/>
        </w:numPr>
        <w:spacing w:line="520" w:lineRule="exact"/>
        <w:ind w:firstLine="600" w:firstLineChars="200"/>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财务制度健全，单位预算编制基本符合相关国家政策及单位职责实际情况，预算收支管理贯彻在全年的实际经费收支全过程。</w:t>
      </w:r>
    </w:p>
    <w:p>
      <w:pPr>
        <w:spacing w:line="520" w:lineRule="exact"/>
        <w:ind w:firstLine="63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（二）存在问题</w:t>
      </w:r>
    </w:p>
    <w:p>
      <w:pPr>
        <w:spacing w:line="520" w:lineRule="exact"/>
        <w:ind w:firstLine="300" w:firstLineChars="1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1、部门预算编制不规范，单位虽然设立了资金绩效目标，但目标不够明确、细化和量化。</w:t>
      </w:r>
    </w:p>
    <w:p>
      <w:pPr>
        <w:spacing w:line="520" w:lineRule="exact"/>
        <w:ind w:firstLine="450" w:firstLineChars="15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2. 资金使用效益有待进一步提高。</w:t>
      </w:r>
    </w:p>
    <w:p>
      <w:pPr>
        <w:widowControl/>
        <w:spacing w:line="520" w:lineRule="exact"/>
        <w:ind w:firstLine="480"/>
        <w:rPr>
          <w:rFonts w:hint="eastAsia" w:ascii="仿宋" w:hAnsi="仿宋" w:eastAsia="仿宋" w:cs="仿宋"/>
          <w:b w:val="0"/>
          <w:bCs w:val="0"/>
          <w:color w:val="3D3D3D"/>
          <w:kern w:val="0"/>
          <w:sz w:val="30"/>
          <w:szCs w:val="30"/>
        </w:rPr>
      </w:pPr>
      <w:r>
        <w:rPr>
          <w:rFonts w:hint="eastAsia" w:ascii="仿宋" w:hAnsi="仿宋" w:eastAsia="仿宋" w:cs="仿宋"/>
          <w:b w:val="0"/>
          <w:bCs w:val="0"/>
          <w:color w:val="3D3D3D"/>
          <w:kern w:val="0"/>
          <w:sz w:val="30"/>
          <w:szCs w:val="30"/>
        </w:rPr>
        <w:t>3、年度预算与实际执行存在偏差，主要是财政资金紧张，不能按时拨付至单位账上且单位不能及时支付各项支出。</w:t>
      </w:r>
    </w:p>
    <w:p>
      <w:pPr>
        <w:widowControl/>
        <w:numPr>
          <w:ilvl w:val="0"/>
          <w:numId w:val="0"/>
        </w:numPr>
        <w:spacing w:line="520" w:lineRule="exact"/>
        <w:ind w:firstLine="600" w:firstLineChars="200"/>
        <w:rPr>
          <w:rFonts w:hint="eastAsia" w:ascii="仿宋" w:hAnsi="仿宋" w:eastAsia="仿宋" w:cs="仿宋"/>
          <w:b w:val="0"/>
          <w:bCs w:val="0"/>
          <w:color w:val="3D3D3D"/>
          <w:kern w:val="0"/>
          <w:sz w:val="30"/>
          <w:szCs w:val="30"/>
        </w:rPr>
      </w:pPr>
      <w:r>
        <w:rPr>
          <w:rFonts w:hint="eastAsia" w:ascii="仿宋" w:hAnsi="仿宋" w:eastAsia="仿宋" w:cs="仿宋"/>
          <w:b w:val="0"/>
          <w:bCs w:val="0"/>
          <w:color w:val="000000"/>
          <w:sz w:val="30"/>
          <w:szCs w:val="30"/>
          <w:lang w:eastAsia="zh-CN"/>
        </w:rPr>
        <w:t>八、下一步改进措施</w:t>
      </w:r>
    </w:p>
    <w:p>
      <w:pPr>
        <w:widowControl/>
        <w:numPr>
          <w:ilvl w:val="0"/>
          <w:numId w:val="4"/>
        </w:numPr>
        <w:spacing w:line="520" w:lineRule="exact"/>
        <w:ind w:firstLine="480"/>
        <w:rPr>
          <w:rFonts w:hint="eastAsia" w:ascii="仿宋" w:hAnsi="仿宋" w:eastAsia="仿宋" w:cs="仿宋"/>
          <w:b w:val="0"/>
          <w:bCs w:val="0"/>
          <w:color w:val="3D3D3D"/>
          <w:kern w:val="0"/>
          <w:sz w:val="30"/>
          <w:szCs w:val="30"/>
        </w:rPr>
      </w:pPr>
      <w:r>
        <w:rPr>
          <w:rFonts w:hint="eastAsia" w:ascii="仿宋" w:hAnsi="仿宋" w:eastAsia="仿宋" w:cs="仿宋"/>
          <w:b w:val="0"/>
          <w:bCs w:val="0"/>
          <w:color w:val="3D3D3D"/>
          <w:kern w:val="0"/>
          <w:sz w:val="30"/>
          <w:szCs w:val="30"/>
        </w:rPr>
        <w:t>加强单位预算编制工作，根据人员情况、业务开展需要，逐项做出预算计划，不留缺口、不留空项。</w:t>
      </w:r>
    </w:p>
    <w:p>
      <w:pPr>
        <w:widowControl/>
        <w:spacing w:line="520" w:lineRule="exact"/>
        <w:ind w:firstLine="480"/>
        <w:rPr>
          <w:rFonts w:hint="eastAsia" w:ascii="仿宋" w:hAnsi="仿宋" w:eastAsia="仿宋" w:cs="仿宋"/>
          <w:b w:val="0"/>
          <w:bCs w:val="0"/>
          <w:color w:val="3D3D3D"/>
          <w:kern w:val="0"/>
          <w:sz w:val="30"/>
          <w:szCs w:val="30"/>
        </w:rPr>
      </w:pPr>
      <w:r>
        <w:rPr>
          <w:rFonts w:hint="eastAsia" w:ascii="仿宋" w:hAnsi="仿宋" w:eastAsia="仿宋" w:cs="仿宋"/>
          <w:b w:val="0"/>
          <w:bCs w:val="0"/>
          <w:color w:val="3D3D3D"/>
          <w:kern w:val="0"/>
          <w:sz w:val="30"/>
          <w:szCs w:val="30"/>
        </w:rPr>
        <w:t>2、规范账务处理，提高财务信息质量</w:t>
      </w:r>
    </w:p>
    <w:p>
      <w:pPr>
        <w:spacing w:line="52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3、加强业务培训，提高评价水平。健全预算绩效管理制度，推动预算绩效管理科学、程序规范、方法合理、结果可行。</w:t>
      </w:r>
    </w:p>
    <w:p>
      <w:pPr>
        <w:spacing w:line="520" w:lineRule="exact"/>
        <w:ind w:firstLine="450" w:firstLineChars="15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每年绩效评价结果作为下年度评价依据。</w:t>
      </w:r>
    </w:p>
    <w:p>
      <w:pPr>
        <w:numPr>
          <w:ilvl w:val="0"/>
          <w:numId w:val="5"/>
        </w:numPr>
        <w:spacing w:line="520" w:lineRule="exact"/>
        <w:ind w:firstLine="450" w:firstLineChars="150"/>
        <w:rPr>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000000"/>
          <w:sz w:val="30"/>
          <w:szCs w:val="30"/>
          <w:lang w:eastAsia="zh-CN"/>
        </w:rPr>
        <w:t>部门整体支出绩效自评结果拟应用和公开情况</w:t>
      </w:r>
    </w:p>
    <w:p>
      <w:pPr>
        <w:numPr>
          <w:ilvl w:val="0"/>
          <w:numId w:val="0"/>
        </w:numPr>
        <w:spacing w:line="520" w:lineRule="exact"/>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 xml:space="preserve">   部门整体支出绩效自评结果已应用和公开。</w:t>
      </w:r>
    </w:p>
    <w:p>
      <w:pPr>
        <w:pStyle w:val="2"/>
        <w:spacing w:line="520" w:lineRule="exact"/>
        <w:ind w:firstLine="4500" w:firstLineChars="1500"/>
        <w:rPr>
          <w:rFonts w:hint="eastAsia" w:ascii="仿宋" w:hAnsi="仿宋" w:eastAsia="仿宋" w:cs="仿宋"/>
          <w:b w:val="0"/>
          <w:bCs w:val="0"/>
          <w:sz w:val="30"/>
          <w:szCs w:val="30"/>
        </w:rPr>
      </w:pPr>
    </w:p>
    <w:p>
      <w:pPr>
        <w:pStyle w:val="2"/>
        <w:spacing w:line="520" w:lineRule="exact"/>
        <w:ind w:firstLine="4500" w:firstLineChars="1500"/>
        <w:rPr>
          <w:rFonts w:hint="eastAsia" w:ascii="仿宋" w:hAnsi="仿宋" w:eastAsia="仿宋" w:cs="仿宋"/>
          <w:b w:val="0"/>
          <w:bCs w:val="0"/>
          <w:sz w:val="30"/>
          <w:szCs w:val="30"/>
        </w:rPr>
      </w:pPr>
    </w:p>
    <w:p>
      <w:pPr>
        <w:pStyle w:val="2"/>
        <w:spacing w:line="520" w:lineRule="exact"/>
        <w:ind w:firstLine="4500" w:firstLineChars="1500"/>
        <w:rPr>
          <w:rFonts w:hint="eastAsia" w:ascii="仿宋" w:hAnsi="仿宋" w:eastAsia="仿宋" w:cs="仿宋"/>
          <w:b w:val="0"/>
          <w:bCs w:val="0"/>
          <w:sz w:val="30"/>
          <w:szCs w:val="30"/>
        </w:rPr>
      </w:pPr>
    </w:p>
    <w:p>
      <w:pPr>
        <w:pStyle w:val="2"/>
        <w:spacing w:line="520" w:lineRule="exact"/>
        <w:ind w:firstLine="4800" w:firstLineChars="1600"/>
        <w:rPr>
          <w:rFonts w:hint="eastAsia" w:ascii="仿宋" w:hAnsi="仿宋" w:eastAsia="仿宋" w:cs="仿宋"/>
          <w:b w:val="0"/>
          <w:bCs w:val="0"/>
          <w:sz w:val="30"/>
          <w:szCs w:val="30"/>
        </w:rPr>
      </w:pPr>
      <w:r>
        <w:rPr>
          <w:rFonts w:hint="eastAsia" w:ascii="仿宋" w:hAnsi="仿宋" w:eastAsia="仿宋" w:cs="仿宋"/>
          <w:b w:val="0"/>
          <w:bCs w:val="0"/>
          <w:sz w:val="30"/>
          <w:szCs w:val="30"/>
        </w:rPr>
        <w:t>辰溪县自然资源</w:t>
      </w:r>
      <w:r>
        <w:rPr>
          <w:rFonts w:hint="eastAsia" w:ascii="仿宋" w:hAnsi="仿宋" w:eastAsia="仿宋" w:cs="仿宋"/>
          <w:b w:val="0"/>
          <w:bCs w:val="0"/>
          <w:sz w:val="30"/>
          <w:szCs w:val="30"/>
          <w:lang w:eastAsia="zh-CN"/>
        </w:rPr>
        <w:t>局</w:t>
      </w:r>
      <w:r>
        <w:rPr>
          <w:rFonts w:hint="eastAsia" w:ascii="仿宋" w:hAnsi="仿宋" w:eastAsia="仿宋" w:cs="仿宋"/>
          <w:b w:val="0"/>
          <w:bCs w:val="0"/>
          <w:sz w:val="30"/>
          <w:szCs w:val="30"/>
        </w:rPr>
        <w:t xml:space="preserve">                           </w:t>
      </w:r>
    </w:p>
    <w:p>
      <w:pPr>
        <w:pStyle w:val="2"/>
        <w:spacing w:line="520" w:lineRule="exact"/>
        <w:ind w:firstLine="4800" w:firstLineChars="1600"/>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 202</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年</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12</w:t>
      </w:r>
      <w:r>
        <w:rPr>
          <w:rFonts w:hint="eastAsia" w:ascii="仿宋" w:hAnsi="仿宋" w:eastAsia="仿宋" w:cs="仿宋"/>
          <w:b w:val="0"/>
          <w:bCs w:val="0"/>
          <w:sz w:val="30"/>
          <w:szCs w:val="30"/>
        </w:rPr>
        <w:t>日</w:t>
      </w:r>
    </w:p>
    <w:p>
      <w:pPr>
        <w:pStyle w:val="2"/>
        <w:spacing w:line="520" w:lineRule="exact"/>
        <w:ind w:firstLine="602"/>
        <w:rPr>
          <w:rFonts w:hint="eastAsia" w:ascii="仿宋" w:hAnsi="仿宋" w:eastAsia="仿宋" w:cs="仿宋"/>
          <w:b w:val="0"/>
          <w:bCs w:val="0"/>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75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47CC4"/>
    <w:multiLevelType w:val="singleLevel"/>
    <w:tmpl w:val="A0147CC4"/>
    <w:lvl w:ilvl="0" w:tentative="0">
      <w:start w:val="9"/>
      <w:numFmt w:val="chineseCounting"/>
      <w:suff w:val="nothing"/>
      <w:lvlText w:val="%1、"/>
      <w:lvlJc w:val="left"/>
      <w:rPr>
        <w:rFonts w:hint="eastAsia"/>
      </w:rPr>
    </w:lvl>
  </w:abstractNum>
  <w:abstractNum w:abstractNumId="1">
    <w:nsid w:val="F2408FF3"/>
    <w:multiLevelType w:val="singleLevel"/>
    <w:tmpl w:val="F2408FF3"/>
    <w:lvl w:ilvl="0" w:tentative="0">
      <w:start w:val="1"/>
      <w:numFmt w:val="decimal"/>
      <w:suff w:val="nothing"/>
      <w:lvlText w:val="%1、"/>
      <w:lvlJc w:val="left"/>
      <w:rPr>
        <w:rFonts w:cs="Times New Roman"/>
      </w:rPr>
    </w:lvl>
  </w:abstractNum>
  <w:abstractNum w:abstractNumId="2">
    <w:nsid w:val="0E3BECCD"/>
    <w:multiLevelType w:val="singleLevel"/>
    <w:tmpl w:val="0E3BECCD"/>
    <w:lvl w:ilvl="0" w:tentative="0">
      <w:start w:val="1"/>
      <w:numFmt w:val="decimal"/>
      <w:suff w:val="nothing"/>
      <w:lvlText w:val="%1、"/>
      <w:lvlJc w:val="left"/>
      <w:rPr>
        <w:rFonts w:cs="Times New Roman"/>
      </w:rPr>
    </w:lvl>
  </w:abstractNum>
  <w:abstractNum w:abstractNumId="3">
    <w:nsid w:val="437CE11B"/>
    <w:multiLevelType w:val="singleLevel"/>
    <w:tmpl w:val="437CE11B"/>
    <w:lvl w:ilvl="0" w:tentative="0">
      <w:start w:val="3"/>
      <w:numFmt w:val="chineseCounting"/>
      <w:suff w:val="nothing"/>
      <w:lvlText w:val="%1、"/>
      <w:lvlJc w:val="left"/>
      <w:rPr>
        <w:rFonts w:hint="eastAsia"/>
      </w:rPr>
    </w:lvl>
  </w:abstractNum>
  <w:abstractNum w:abstractNumId="4">
    <w:nsid w:val="58DF894B"/>
    <w:multiLevelType w:val="singleLevel"/>
    <w:tmpl w:val="58DF894B"/>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e0337937-c55b-4b0f-b016-de8ff33aee95"/>
  </w:docVars>
  <w:rsids>
    <w:rsidRoot w:val="00966A9D"/>
    <w:rsid w:val="00040B2A"/>
    <w:rsid w:val="000433CF"/>
    <w:rsid w:val="000844E8"/>
    <w:rsid w:val="000B1DF1"/>
    <w:rsid w:val="000D1D7B"/>
    <w:rsid w:val="000E03A5"/>
    <w:rsid w:val="001706EC"/>
    <w:rsid w:val="001717CE"/>
    <w:rsid w:val="001D0151"/>
    <w:rsid w:val="002002D8"/>
    <w:rsid w:val="00212340"/>
    <w:rsid w:val="00216177"/>
    <w:rsid w:val="002A5DDC"/>
    <w:rsid w:val="002C00CE"/>
    <w:rsid w:val="002D08D8"/>
    <w:rsid w:val="002D330E"/>
    <w:rsid w:val="002F5BF7"/>
    <w:rsid w:val="00303E41"/>
    <w:rsid w:val="003A3F10"/>
    <w:rsid w:val="003C00B9"/>
    <w:rsid w:val="003E00BC"/>
    <w:rsid w:val="003E2CBE"/>
    <w:rsid w:val="0053241D"/>
    <w:rsid w:val="00545212"/>
    <w:rsid w:val="00596930"/>
    <w:rsid w:val="005D41C5"/>
    <w:rsid w:val="005D6D51"/>
    <w:rsid w:val="005E7C88"/>
    <w:rsid w:val="00604B42"/>
    <w:rsid w:val="0062194C"/>
    <w:rsid w:val="006411BD"/>
    <w:rsid w:val="00642C38"/>
    <w:rsid w:val="00710C50"/>
    <w:rsid w:val="00722AC9"/>
    <w:rsid w:val="00777B2F"/>
    <w:rsid w:val="007C789A"/>
    <w:rsid w:val="007D0828"/>
    <w:rsid w:val="00820AC9"/>
    <w:rsid w:val="00834FD0"/>
    <w:rsid w:val="0084360E"/>
    <w:rsid w:val="0088311E"/>
    <w:rsid w:val="008D3580"/>
    <w:rsid w:val="00924E74"/>
    <w:rsid w:val="00966A9D"/>
    <w:rsid w:val="009744D1"/>
    <w:rsid w:val="00A215BD"/>
    <w:rsid w:val="00A27123"/>
    <w:rsid w:val="00A53CDA"/>
    <w:rsid w:val="00A71A1F"/>
    <w:rsid w:val="00AA52F4"/>
    <w:rsid w:val="00AC2EAF"/>
    <w:rsid w:val="00AC55A0"/>
    <w:rsid w:val="00B3300E"/>
    <w:rsid w:val="00B96F03"/>
    <w:rsid w:val="00BB4E12"/>
    <w:rsid w:val="00C3536B"/>
    <w:rsid w:val="00CB0A9F"/>
    <w:rsid w:val="00CC18B7"/>
    <w:rsid w:val="00CE6280"/>
    <w:rsid w:val="00CE6EC9"/>
    <w:rsid w:val="00D222EC"/>
    <w:rsid w:val="00D83EFB"/>
    <w:rsid w:val="00D848B7"/>
    <w:rsid w:val="00DB0F5E"/>
    <w:rsid w:val="00DB1392"/>
    <w:rsid w:val="00DD1457"/>
    <w:rsid w:val="00DD3BB6"/>
    <w:rsid w:val="00DF06A4"/>
    <w:rsid w:val="00E27331"/>
    <w:rsid w:val="00E46DBD"/>
    <w:rsid w:val="00EA47DE"/>
    <w:rsid w:val="00EF48B3"/>
    <w:rsid w:val="00F1062F"/>
    <w:rsid w:val="00F60F9B"/>
    <w:rsid w:val="00F81B5C"/>
    <w:rsid w:val="00FA6817"/>
    <w:rsid w:val="01B12933"/>
    <w:rsid w:val="03A148E7"/>
    <w:rsid w:val="07655CA0"/>
    <w:rsid w:val="15886824"/>
    <w:rsid w:val="17B664A1"/>
    <w:rsid w:val="18413B17"/>
    <w:rsid w:val="1A0E27C8"/>
    <w:rsid w:val="1F940F63"/>
    <w:rsid w:val="25496F8D"/>
    <w:rsid w:val="28BB292D"/>
    <w:rsid w:val="2BA718EB"/>
    <w:rsid w:val="34453EC6"/>
    <w:rsid w:val="35646E1B"/>
    <w:rsid w:val="37157FBF"/>
    <w:rsid w:val="382F1972"/>
    <w:rsid w:val="3B181FFC"/>
    <w:rsid w:val="3B4645EF"/>
    <w:rsid w:val="3B490190"/>
    <w:rsid w:val="401E63B5"/>
    <w:rsid w:val="4AB85638"/>
    <w:rsid w:val="4B9905A8"/>
    <w:rsid w:val="510A11AB"/>
    <w:rsid w:val="65BE1727"/>
    <w:rsid w:val="7010740A"/>
    <w:rsid w:val="7087754B"/>
    <w:rsid w:val="71B02FE4"/>
    <w:rsid w:val="7C0970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qFormat/>
    <w:uiPriority w:val="99"/>
    <w:rPr>
      <w:rFonts w:cs="Times New Roman"/>
      <w:color w:val="0000FF"/>
      <w:u w:val="single"/>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2080</Words>
  <Characters>2310</Characters>
  <Lines>0</Lines>
  <Paragraphs>0</Paragraphs>
  <TotalTime>47</TotalTime>
  <ScaleCrop>false</ScaleCrop>
  <LinksUpToDate>false</LinksUpToDate>
  <CharactersWithSpaces>2356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2023-02-06T07:34:00Z</dcterms:created>
  <dc:creator>Administrator</dc:creator>
  <cp:lastModifiedBy>九月</cp:lastModifiedBy>
  <cp:lastPrinted>2024-04-24T09:17:00Z</cp:lastPrinted>
  <dcterms:modified xsi:type="dcterms:W3CDTF">2024-10-23T03:34:39Z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7DFFFFDC40B345848B51979B9DA97E62_13</vt:lpwstr>
  </property>
</Properties>
</file>