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0A60C">
      <w:pPr>
        <w:keepNext w:val="0"/>
        <w:keepLines w:val="0"/>
        <w:widowControl/>
        <w:suppressLineNumbers w:val="0"/>
        <w:jc w:val="left"/>
      </w:pPr>
    </w:p>
    <w:p w14:paraId="47468C8A">
      <w:pPr>
        <w:keepNext w:val="0"/>
        <w:keepLines w:val="0"/>
        <w:widowControl/>
        <w:suppressLineNumbers w:val="0"/>
        <w:jc w:val="left"/>
      </w:pPr>
    </w:p>
    <w:p w14:paraId="66646FE5">
      <w:pPr>
        <w:keepNext w:val="0"/>
        <w:keepLines w:val="0"/>
        <w:widowControl/>
        <w:suppressLineNumbers w:val="0"/>
        <w:jc w:val="left"/>
      </w:pPr>
    </w:p>
    <w:p w14:paraId="4C062C7F">
      <w:pPr>
        <w:keepNext w:val="0"/>
        <w:keepLines w:val="0"/>
        <w:widowControl/>
        <w:suppressLineNumbers w:val="0"/>
        <w:jc w:val="left"/>
      </w:pPr>
    </w:p>
    <w:p w14:paraId="74C09A95">
      <w:pPr>
        <w:keepNext w:val="0"/>
        <w:keepLines w:val="0"/>
        <w:widowControl/>
        <w:suppressLineNumbers w:val="0"/>
        <w:jc w:val="left"/>
      </w:pPr>
    </w:p>
    <w:p w14:paraId="07ADA3E9">
      <w:pPr>
        <w:keepNext w:val="0"/>
        <w:keepLines w:val="0"/>
        <w:widowControl/>
        <w:suppressLineNumbers w:val="0"/>
        <w:jc w:val="left"/>
      </w:pPr>
    </w:p>
    <w:p w14:paraId="4463EE7D">
      <w:pPr>
        <w:keepNext w:val="0"/>
        <w:keepLines w:val="0"/>
        <w:widowControl/>
        <w:suppressLineNumbers w:val="0"/>
        <w:jc w:val="left"/>
      </w:pPr>
    </w:p>
    <w:p w14:paraId="39DB44F6">
      <w:pPr>
        <w:keepNext w:val="0"/>
        <w:keepLines w:val="0"/>
        <w:widowControl/>
        <w:suppressLineNumbers w:val="0"/>
        <w:jc w:val="left"/>
      </w:pPr>
    </w:p>
    <w:p w14:paraId="3C7E9BF1">
      <w:pPr>
        <w:keepNext w:val="0"/>
        <w:keepLines w:val="0"/>
        <w:widowControl/>
        <w:suppressLineNumbers w:val="0"/>
        <w:jc w:val="center"/>
        <w:rPr>
          <w:rFonts w:hint="eastAsia" w:ascii="宋体" w:hAnsi="宋体" w:eastAsia="宋体" w:cs="宋体"/>
          <w:b/>
          <w:bCs/>
          <w:sz w:val="72"/>
          <w:szCs w:val="72"/>
        </w:rPr>
      </w:pPr>
      <w:r>
        <w:rPr>
          <w:rFonts w:hint="eastAsia" w:ascii="楷体_GB2312" w:hAnsi="楷体_GB2312" w:eastAsia="楷体_GB2312" w:cs="楷体_GB2312"/>
          <w:b/>
          <w:bCs/>
          <w:color w:val="000000"/>
          <w:kern w:val="0"/>
          <w:sz w:val="72"/>
          <w:szCs w:val="72"/>
          <w:lang w:val="en-US" w:eastAsia="zh-CN" w:bidi="ar"/>
        </w:rPr>
        <w:t>2024年度乡村振兴局整体支出绩效自评报告</w:t>
      </w:r>
    </w:p>
    <w:p w14:paraId="1C30A9B2">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504D52AE">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4643910D">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3A015243">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05BD90D5">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2B7CF052">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79118AFE">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123D6D47">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3D356323">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705B4357">
      <w:pPr>
        <w:keepNext w:val="0"/>
        <w:keepLines w:val="0"/>
        <w:widowControl/>
        <w:suppressLineNumbers w:val="0"/>
        <w:ind w:firstLine="2170" w:firstLineChars="700"/>
        <w:jc w:val="left"/>
        <w:rPr>
          <w:rFonts w:hint="default"/>
          <w:u w:val="single"/>
          <w:lang w:val="en-US"/>
        </w:rPr>
      </w:pPr>
      <w:r>
        <w:rPr>
          <w:rFonts w:ascii="仿宋_GB2312" w:hAnsi="仿宋_GB2312" w:eastAsia="仿宋_GB2312" w:cs="仿宋_GB2312"/>
          <w:color w:val="000000"/>
          <w:kern w:val="0"/>
          <w:sz w:val="31"/>
          <w:szCs w:val="31"/>
          <w:u w:val="single"/>
          <w:lang w:val="en-US" w:eastAsia="zh-CN" w:bidi="ar"/>
        </w:rPr>
        <w:t>单位名称：</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u w:val="single"/>
          <w:lang w:val="en-US" w:eastAsia="zh-CN" w:bidi="ar"/>
        </w:rPr>
        <w:t xml:space="preserve">（盖章） </w:t>
      </w:r>
      <w:r>
        <w:rPr>
          <w:rFonts w:hint="eastAsia" w:ascii="仿宋_GB2312" w:hAnsi="仿宋_GB2312" w:eastAsia="仿宋_GB2312" w:cs="仿宋_GB2312"/>
          <w:color w:val="000000"/>
          <w:kern w:val="0"/>
          <w:sz w:val="31"/>
          <w:szCs w:val="31"/>
          <w:u w:val="single"/>
          <w:lang w:val="en-US" w:eastAsia="zh-CN" w:bidi="ar"/>
        </w:rPr>
        <w:t xml:space="preserve">  </w:t>
      </w:r>
    </w:p>
    <w:p w14:paraId="2E7AFE5B">
      <w:pPr>
        <w:keepNext w:val="0"/>
        <w:keepLines w:val="0"/>
        <w:widowControl/>
        <w:suppressLineNumbers w:val="0"/>
        <w:ind w:firstLine="2170" w:firstLineChars="700"/>
        <w:jc w:val="left"/>
      </w:pPr>
      <w:r>
        <w:rPr>
          <w:rFonts w:hint="eastAsia" w:ascii="楷体_GB2312" w:hAnsi="楷体_GB2312" w:eastAsia="楷体_GB2312" w:cs="楷体_GB2312"/>
          <w:color w:val="000000"/>
          <w:kern w:val="0"/>
          <w:sz w:val="31"/>
          <w:szCs w:val="31"/>
          <w:lang w:val="en-US" w:eastAsia="zh-CN" w:bidi="ar"/>
        </w:rPr>
        <w:t>2024</w:t>
      </w:r>
      <w:r>
        <w:rPr>
          <w:rFonts w:ascii="楷体_GB2312" w:hAnsi="楷体_GB2312" w:eastAsia="楷体_GB2312" w:cs="楷体_GB2312"/>
          <w:color w:val="000000"/>
          <w:kern w:val="0"/>
          <w:sz w:val="31"/>
          <w:szCs w:val="31"/>
          <w:lang w:val="en-US" w:eastAsia="zh-CN" w:bidi="ar"/>
        </w:rPr>
        <w:t xml:space="preserve">年 </w:t>
      </w:r>
      <w:r>
        <w:rPr>
          <w:rFonts w:hint="eastAsia" w:ascii="楷体_GB2312" w:hAnsi="楷体_GB2312" w:eastAsia="楷体_GB2312" w:cs="楷体_GB2312"/>
          <w:color w:val="000000"/>
          <w:kern w:val="0"/>
          <w:sz w:val="31"/>
          <w:szCs w:val="31"/>
          <w:lang w:val="en-US" w:eastAsia="zh-CN" w:bidi="ar"/>
        </w:rPr>
        <w:t xml:space="preserve">12 </w:t>
      </w:r>
      <w:r>
        <w:rPr>
          <w:rFonts w:ascii="楷体_GB2312" w:hAnsi="楷体_GB2312" w:eastAsia="楷体_GB2312" w:cs="楷体_GB2312"/>
          <w:color w:val="000000"/>
          <w:kern w:val="0"/>
          <w:sz w:val="31"/>
          <w:szCs w:val="31"/>
          <w:lang w:val="en-US" w:eastAsia="zh-CN" w:bidi="ar"/>
        </w:rPr>
        <w:t>月</w:t>
      </w:r>
      <w:r>
        <w:rPr>
          <w:rFonts w:hint="eastAsia" w:ascii="楷体_GB2312" w:hAnsi="楷体_GB2312" w:eastAsia="楷体_GB2312" w:cs="楷体_GB2312"/>
          <w:color w:val="000000"/>
          <w:kern w:val="0"/>
          <w:sz w:val="31"/>
          <w:szCs w:val="31"/>
          <w:lang w:val="en-US" w:eastAsia="zh-CN" w:bidi="ar"/>
        </w:rPr>
        <w:t>31</w:t>
      </w:r>
      <w:r>
        <w:rPr>
          <w:rFonts w:ascii="楷体_GB2312" w:hAnsi="楷体_GB2312" w:eastAsia="楷体_GB2312" w:cs="楷体_GB2312"/>
          <w:color w:val="000000"/>
          <w:kern w:val="0"/>
          <w:sz w:val="31"/>
          <w:szCs w:val="31"/>
          <w:lang w:val="en-US" w:eastAsia="zh-CN" w:bidi="ar"/>
        </w:rPr>
        <w:t xml:space="preserve"> 日 </w:t>
      </w:r>
    </w:p>
    <w:p w14:paraId="1D2DE9EA">
      <w:pPr>
        <w:keepNext w:val="0"/>
        <w:keepLines w:val="0"/>
        <w:widowControl/>
        <w:suppressLineNumbers w:val="0"/>
        <w:jc w:val="center"/>
        <w:rPr>
          <w:rFonts w:ascii="FZXiaoBiaoSong-B05" w:hAnsi="FZXiaoBiaoSong-B05" w:eastAsia="FZXiaoBiaoSong-B05" w:cs="FZXiaoBiaoSong-B05"/>
          <w:color w:val="000000"/>
          <w:kern w:val="0"/>
          <w:sz w:val="43"/>
          <w:szCs w:val="43"/>
          <w:lang w:val="en-US" w:eastAsia="zh-CN" w:bidi="ar"/>
        </w:rPr>
      </w:pPr>
    </w:p>
    <w:p w14:paraId="51B283A4">
      <w:pPr>
        <w:keepNext w:val="0"/>
        <w:keepLines w:val="0"/>
        <w:widowControl/>
        <w:suppressLineNumbers w:val="0"/>
        <w:jc w:val="center"/>
        <w:rPr>
          <w:rFonts w:ascii="FZXiaoBiaoSong-B05" w:hAnsi="FZXiaoBiaoSong-B05" w:eastAsia="FZXiaoBiaoSong-B05" w:cs="FZXiaoBiaoSong-B05"/>
          <w:color w:val="000000"/>
          <w:kern w:val="0"/>
          <w:sz w:val="43"/>
          <w:szCs w:val="43"/>
          <w:lang w:val="en-US" w:eastAsia="zh-CN" w:bidi="ar"/>
        </w:rPr>
      </w:pPr>
    </w:p>
    <w:p w14:paraId="32A1E865">
      <w:pPr>
        <w:keepNext w:val="0"/>
        <w:keepLines w:val="0"/>
        <w:widowControl/>
        <w:suppressLineNumbers w:val="0"/>
        <w:jc w:val="both"/>
        <w:rPr>
          <w:rFonts w:ascii="FZXiaoBiaoSong-B05" w:hAnsi="FZXiaoBiaoSong-B05" w:eastAsia="FZXiaoBiaoSong-B05" w:cs="FZXiaoBiaoSong-B05"/>
          <w:color w:val="000000"/>
          <w:kern w:val="0"/>
          <w:sz w:val="43"/>
          <w:szCs w:val="43"/>
          <w:lang w:val="en-US" w:eastAsia="zh-CN" w:bidi="ar"/>
        </w:rPr>
      </w:pPr>
    </w:p>
    <w:p w14:paraId="275B6A01">
      <w:pPr>
        <w:keepNext w:val="0"/>
        <w:keepLines w:val="0"/>
        <w:widowControl/>
        <w:suppressLineNumbers w:val="0"/>
        <w:jc w:val="center"/>
        <w:rPr>
          <w:rFonts w:hint="eastAsia" w:ascii="黑体" w:hAnsi="黑体" w:eastAsia="黑体" w:cs="黑体"/>
          <w:color w:val="000000"/>
          <w:kern w:val="0"/>
          <w:sz w:val="52"/>
          <w:szCs w:val="52"/>
          <w:lang w:val="en-US" w:eastAsia="zh-CN" w:bidi="ar"/>
        </w:rPr>
      </w:pPr>
    </w:p>
    <w:p w14:paraId="5228731A">
      <w:pPr>
        <w:keepNext w:val="0"/>
        <w:keepLines w:val="0"/>
        <w:widowControl/>
        <w:suppressLineNumbers w:val="0"/>
        <w:jc w:val="center"/>
        <w:rPr>
          <w:rFonts w:hint="eastAsia" w:ascii="黑体" w:hAnsi="黑体" w:eastAsia="黑体" w:cs="黑体"/>
          <w:color w:val="000000"/>
          <w:kern w:val="0"/>
          <w:sz w:val="52"/>
          <w:szCs w:val="52"/>
          <w:lang w:val="en-US" w:eastAsia="zh-CN" w:bidi="ar"/>
        </w:rPr>
      </w:pPr>
    </w:p>
    <w:p w14:paraId="2AAC32A0">
      <w:pPr>
        <w:keepNext w:val="0"/>
        <w:keepLines w:val="0"/>
        <w:widowControl/>
        <w:suppressLineNumbers w:val="0"/>
        <w:jc w:val="center"/>
        <w:rPr>
          <w:rFonts w:hint="eastAsia" w:ascii="黑体" w:hAnsi="黑体" w:eastAsia="黑体" w:cs="黑体"/>
          <w:color w:val="000000"/>
          <w:kern w:val="0"/>
          <w:sz w:val="52"/>
          <w:szCs w:val="52"/>
          <w:lang w:val="en-US" w:eastAsia="zh-CN" w:bidi="ar"/>
        </w:rPr>
      </w:pPr>
      <w:r>
        <w:rPr>
          <w:rFonts w:hint="eastAsia" w:ascii="黑体" w:hAnsi="黑体" w:eastAsia="黑体" w:cs="黑体"/>
          <w:color w:val="000000"/>
          <w:kern w:val="0"/>
          <w:sz w:val="52"/>
          <w:szCs w:val="52"/>
          <w:lang w:val="en-US" w:eastAsia="zh-CN" w:bidi="ar"/>
        </w:rPr>
        <w:t>部门整体支出绩效评价报告</w:t>
      </w:r>
    </w:p>
    <w:p w14:paraId="78FDA44C">
      <w:pPr>
        <w:keepNext w:val="0"/>
        <w:keepLines w:val="0"/>
        <w:widowControl/>
        <w:suppressLineNumbers w:val="0"/>
        <w:jc w:val="center"/>
        <w:rPr>
          <w:rFonts w:ascii="FZXiaoBiaoSong-B05" w:hAnsi="FZXiaoBiaoSong-B05" w:eastAsia="FZXiaoBiaoSong-B05" w:cs="FZXiaoBiaoSong-B05"/>
          <w:color w:val="000000"/>
          <w:kern w:val="0"/>
          <w:sz w:val="18"/>
          <w:szCs w:val="18"/>
          <w:lang w:val="en-US" w:eastAsia="zh-CN" w:bidi="ar"/>
        </w:rPr>
      </w:pPr>
    </w:p>
    <w:p w14:paraId="158316D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bCs/>
          <w:color w:val="000000"/>
          <w:kern w:val="0"/>
          <w:sz w:val="32"/>
          <w:szCs w:val="32"/>
          <w:lang w:val="en-US" w:eastAsia="zh-CN" w:bidi="ar"/>
        </w:rPr>
        <w:t xml:space="preserve">一、部门概况 </w:t>
      </w:r>
    </w:p>
    <w:p w14:paraId="65BAD54C">
      <w:pPr>
        <w:keepNext w:val="0"/>
        <w:keepLines w:val="0"/>
        <w:pageBreakBefore w:val="0"/>
        <w:widowControl/>
        <w:suppressLineNumbers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kern w:val="0"/>
          <w:sz w:val="32"/>
          <w:szCs w:val="32"/>
          <w:lang w:val="en-US" w:eastAsia="zh-CN" w:bidi="ar"/>
        </w:rPr>
      </w:pPr>
      <w:r>
        <w:rPr>
          <w:rFonts w:hint="eastAsia" w:ascii="华文楷体" w:hAnsi="华文楷体" w:eastAsia="华文楷体" w:cs="华文楷体"/>
          <w:b/>
          <w:bCs/>
          <w:color w:val="000000"/>
          <w:kern w:val="0"/>
          <w:sz w:val="32"/>
          <w:szCs w:val="32"/>
          <w:lang w:val="en-US" w:eastAsia="zh-CN" w:bidi="ar"/>
        </w:rPr>
        <w:t>（一）部门基本情况</w:t>
      </w:r>
    </w:p>
    <w:p w14:paraId="25EB47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b w:val="0"/>
          <w:bCs w:val="0"/>
          <w:color w:val="000000"/>
          <w:kern w:val="0"/>
          <w:sz w:val="32"/>
          <w:szCs w:val="32"/>
          <w:lang w:val="en-US" w:eastAsia="zh-CN" w:bidi="ar"/>
        </w:rPr>
      </w:pPr>
      <w:r>
        <w:rPr>
          <w:rFonts w:hint="eastAsia" w:ascii="华文仿宋" w:hAnsi="华文仿宋" w:eastAsia="华文仿宋" w:cs="华文仿宋"/>
          <w:b w:val="0"/>
          <w:bCs w:val="0"/>
          <w:color w:val="000000"/>
          <w:kern w:val="0"/>
          <w:sz w:val="32"/>
          <w:szCs w:val="32"/>
          <w:lang w:val="en-US" w:eastAsia="zh-CN" w:bidi="ar"/>
        </w:rPr>
        <w:t>2024年末乡村振兴局机关现有行政编制7名，设局长1名，副局长3名。二级机构辰溪县扶贫服务中心现有事业编制18名。目前局机关和二级机构共有在编在岗工作人员23人，内设综合股（统计股）、项目计划管理股、扶贫股3个股室，另有二级机构1个：辰溪县扶贫服务中心。</w:t>
      </w:r>
    </w:p>
    <w:p w14:paraId="36B4A4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b w:val="0"/>
          <w:bCs w:val="0"/>
          <w:color w:val="000000"/>
          <w:kern w:val="0"/>
          <w:sz w:val="32"/>
          <w:szCs w:val="32"/>
          <w:lang w:val="en-US" w:eastAsia="zh-CN" w:bidi="ar"/>
        </w:rPr>
      </w:pPr>
      <w:r>
        <w:rPr>
          <w:rFonts w:hint="eastAsia" w:ascii="华文仿宋" w:hAnsi="华文仿宋" w:eastAsia="华文仿宋" w:cs="华文仿宋"/>
          <w:b w:val="0"/>
          <w:bCs w:val="0"/>
          <w:color w:val="000000"/>
          <w:kern w:val="0"/>
          <w:sz w:val="32"/>
          <w:szCs w:val="32"/>
          <w:lang w:val="en-US" w:eastAsia="zh-CN" w:bidi="ar"/>
        </w:rPr>
        <w:t xml:space="preserve">主要职责为：负责组织、协调、指导全县巩固拓展脱贫攻坚成果和乡村振兴有效衔接工作；负责组织开展防返贫信息体系建设，指导乡村振兴系统统计和信息化建设工作；负责会同有关部门组织开展全县巩固拓展脱贫攻坚成果和乡村振兴有效衔接督查、考核工作；承担协调乡村振兴系统风险防控、信访和舆情处理工作；完成县委、县政府交办的工作。 </w:t>
      </w:r>
    </w:p>
    <w:p w14:paraId="63EB81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b w:val="0"/>
          <w:bCs w:val="0"/>
          <w:color w:val="000000"/>
          <w:kern w:val="0"/>
          <w:sz w:val="32"/>
          <w:szCs w:val="32"/>
          <w:lang w:val="en-US" w:eastAsia="zh-CN" w:bidi="ar"/>
        </w:rPr>
      </w:pPr>
      <w:r>
        <w:rPr>
          <w:rFonts w:hint="eastAsia" w:ascii="华文仿宋" w:hAnsi="华文仿宋" w:eastAsia="华文仿宋" w:cs="华文仿宋"/>
          <w:b w:val="0"/>
          <w:bCs w:val="0"/>
          <w:color w:val="000000"/>
          <w:kern w:val="0"/>
          <w:sz w:val="32"/>
          <w:szCs w:val="32"/>
          <w:lang w:val="en-US" w:eastAsia="zh-CN" w:bidi="ar"/>
        </w:rPr>
        <w:t>2024年，我们坚持以习近平新时代中国特色社会主义思想为指导，全面贯彻落实党的二十大精神，深入贯彻落实习近平总书记关于“三农”工作的重要论述，按照中央、省委、市委、县委决策部署，聚焦“守底线、抓发展、促振兴”,不断增强脱贫地区和脱贫群众内生发展动力，牢牢守住不发生规模性返贫的底线，扎实推进乡村发展、乡村建设、乡村治理等重点工作，建设绿色生态宜居宜业和美乡村，推动巩固拓展脱贫攻坚成果上台阶、乡村振兴见实效。</w:t>
      </w:r>
    </w:p>
    <w:p w14:paraId="3C7974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1" w:firstLineChars="200"/>
        <w:jc w:val="left"/>
        <w:textAlignment w:val="auto"/>
        <w:rPr>
          <w:rFonts w:hint="eastAsia" w:ascii="仿宋" w:hAnsi="仿宋" w:eastAsia="仿宋" w:cs="仿宋"/>
          <w:color w:val="000000"/>
          <w:kern w:val="0"/>
          <w:sz w:val="32"/>
          <w:szCs w:val="32"/>
          <w:lang w:val="en-US" w:eastAsia="zh-CN" w:bidi="ar"/>
        </w:rPr>
      </w:pPr>
      <w:r>
        <w:rPr>
          <w:rFonts w:hint="eastAsia" w:ascii="华文楷体" w:hAnsi="华文楷体" w:eastAsia="华文楷体" w:cs="华文楷体"/>
          <w:b/>
          <w:bCs/>
          <w:color w:val="000000"/>
          <w:kern w:val="0"/>
          <w:sz w:val="32"/>
          <w:szCs w:val="32"/>
          <w:lang w:val="en-US" w:eastAsia="zh-CN" w:bidi="ar"/>
        </w:rPr>
        <w:t>（二）2024年末整体支出合计共</w:t>
      </w:r>
      <w:r>
        <w:rPr>
          <w:rFonts w:hint="eastAsia" w:ascii="仿宋" w:hAnsi="仿宋" w:eastAsia="仿宋" w:cs="仿宋"/>
          <w:color w:val="000000"/>
          <w:kern w:val="0"/>
          <w:sz w:val="32"/>
          <w:szCs w:val="32"/>
          <w:lang w:val="en-US" w:eastAsia="zh-CN" w:bidi="ar"/>
        </w:rPr>
        <w:t>：</w:t>
      </w:r>
      <w:r>
        <w:rPr>
          <w:rFonts w:hint="eastAsia" w:ascii="华文仿宋" w:hAnsi="华文仿宋" w:eastAsia="华文仿宋" w:cs="华文仿宋"/>
          <w:color w:val="auto"/>
          <w:kern w:val="0"/>
          <w:sz w:val="32"/>
          <w:szCs w:val="32"/>
          <w:lang w:val="en-US" w:eastAsia="zh-CN" w:bidi="ar"/>
        </w:rPr>
        <w:t>5544.4万元，包含了单位基本运行支出1262.65万元（涉及人员经费、办公费、印刷费等日常开支）及项目支出4281.75万元</w:t>
      </w:r>
      <w:r>
        <w:rPr>
          <w:rFonts w:hint="eastAsia" w:ascii="华文仿宋" w:hAnsi="华文仿宋" w:eastAsia="华文仿宋" w:cs="华文仿宋"/>
          <w:color w:val="000000"/>
          <w:kern w:val="0"/>
          <w:sz w:val="32"/>
          <w:szCs w:val="32"/>
          <w:lang w:val="en-US" w:eastAsia="zh-CN" w:bidi="ar"/>
        </w:rPr>
        <w:t>（涉及农村基础设施建设、农村生产发展、农村改厕、雨露计划、小额贴息及灾后重建)。</w:t>
      </w:r>
    </w:p>
    <w:p w14:paraId="1C8A7FF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bCs/>
          <w:color w:val="000000"/>
          <w:kern w:val="0"/>
          <w:sz w:val="32"/>
          <w:szCs w:val="32"/>
          <w:lang w:val="en-US" w:eastAsia="zh-CN" w:bidi="ar"/>
        </w:rPr>
        <w:t xml:space="preserve">二、部门整体支出管理及使用情况 </w:t>
      </w:r>
    </w:p>
    <w:p w14:paraId="020F3CE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kern w:val="0"/>
          <w:sz w:val="32"/>
          <w:szCs w:val="32"/>
          <w:lang w:val="en-US" w:eastAsia="zh-CN" w:bidi="ar"/>
        </w:rPr>
      </w:pPr>
      <w:r>
        <w:rPr>
          <w:rFonts w:hint="eastAsia" w:ascii="华文楷体" w:hAnsi="华文楷体" w:eastAsia="华文楷体" w:cs="华文楷体"/>
          <w:b/>
          <w:bCs/>
          <w:color w:val="000000"/>
          <w:kern w:val="0"/>
          <w:sz w:val="32"/>
          <w:szCs w:val="32"/>
          <w:lang w:val="en-US" w:eastAsia="zh-CN" w:bidi="ar"/>
        </w:rPr>
        <w:t xml:space="preserve">（一）基本支出 </w:t>
      </w:r>
    </w:p>
    <w:p w14:paraId="20E4FB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color w:val="000000"/>
          <w:kern w:val="0"/>
          <w:sz w:val="32"/>
          <w:szCs w:val="32"/>
          <w:lang w:val="en-US" w:eastAsia="zh-CN" w:bidi="ar"/>
        </w:rPr>
        <w:t>基本支出主要用于本单位人员工资及行政正常运行。包括人员工资福</w:t>
      </w:r>
      <w:r>
        <w:rPr>
          <w:rFonts w:hint="eastAsia" w:ascii="华文仿宋" w:hAnsi="华文仿宋" w:eastAsia="华文仿宋" w:cs="华文仿宋"/>
          <w:color w:val="auto"/>
          <w:kern w:val="0"/>
          <w:sz w:val="32"/>
          <w:szCs w:val="32"/>
          <w:lang w:val="en-US" w:eastAsia="zh-CN" w:bidi="ar"/>
        </w:rPr>
        <w:t>利支出219.39万，商品服务支出1033.88万，其中会议费3.98万元，对个人和家庭支出5.38万元，资本性支出4万元（办公设备购置），都是严格</w:t>
      </w:r>
      <w:r>
        <w:rPr>
          <w:rFonts w:hint="eastAsia" w:ascii="华文仿宋" w:hAnsi="华文仿宋" w:eastAsia="华文仿宋" w:cs="华文仿宋"/>
          <w:color w:val="000000"/>
          <w:kern w:val="0"/>
          <w:sz w:val="32"/>
          <w:szCs w:val="32"/>
          <w:lang w:val="en-US" w:eastAsia="zh-CN" w:bidi="ar"/>
        </w:rPr>
        <w:t>按财政规章制度执行。</w:t>
      </w:r>
    </w:p>
    <w:p w14:paraId="7A006B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2024年初部门预算三公</w:t>
      </w:r>
      <w:r>
        <w:rPr>
          <w:rFonts w:hint="eastAsia" w:ascii="华文仿宋" w:hAnsi="华文仿宋" w:eastAsia="华文仿宋" w:cs="华文仿宋"/>
          <w:color w:val="auto"/>
          <w:kern w:val="0"/>
          <w:sz w:val="32"/>
          <w:szCs w:val="32"/>
          <w:lang w:val="en-US" w:eastAsia="zh-CN" w:bidi="ar"/>
        </w:rPr>
        <w:t>经费是11万</w:t>
      </w:r>
      <w:r>
        <w:rPr>
          <w:rFonts w:hint="eastAsia" w:ascii="华文仿宋" w:hAnsi="华文仿宋" w:eastAsia="华文仿宋" w:cs="华文仿宋"/>
          <w:color w:val="000000"/>
          <w:kern w:val="0"/>
          <w:sz w:val="32"/>
          <w:szCs w:val="32"/>
          <w:lang w:val="en-US" w:eastAsia="zh-CN" w:bidi="ar"/>
        </w:rPr>
        <w:t>，三公经费</w:t>
      </w:r>
      <w:r>
        <w:rPr>
          <w:rFonts w:hint="eastAsia" w:ascii="华文仿宋" w:hAnsi="华文仿宋" w:eastAsia="华文仿宋" w:cs="华文仿宋"/>
          <w:color w:val="auto"/>
          <w:kern w:val="0"/>
          <w:sz w:val="32"/>
          <w:szCs w:val="32"/>
          <w:lang w:val="en-US" w:eastAsia="zh-CN" w:bidi="ar"/>
        </w:rPr>
        <w:t>决算10.69</w:t>
      </w:r>
      <w:r>
        <w:rPr>
          <w:rFonts w:hint="eastAsia" w:ascii="华文仿宋" w:hAnsi="华文仿宋" w:eastAsia="华文仿宋" w:cs="华文仿宋"/>
          <w:color w:val="000000"/>
          <w:kern w:val="0"/>
          <w:sz w:val="32"/>
          <w:szCs w:val="32"/>
          <w:lang w:val="en-US" w:eastAsia="zh-CN" w:bidi="ar"/>
        </w:rPr>
        <w:t>万元，都是公务接待费用，无车辆购置和使用费用、无因公出国费用。预算执行率为97%，相比2023年有所提高，主要是严控三公经费厉行节约，共接待134批次 770人。</w:t>
      </w:r>
    </w:p>
    <w:p w14:paraId="1660040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1" w:firstLineChars="200"/>
        <w:jc w:val="left"/>
        <w:textAlignment w:val="auto"/>
        <w:rPr>
          <w:rFonts w:hint="default" w:ascii="华文楷体" w:hAnsi="华文楷体" w:eastAsia="华文楷体" w:cs="华文楷体"/>
          <w:b/>
          <w:bCs/>
          <w:color w:val="000000"/>
          <w:kern w:val="0"/>
          <w:sz w:val="32"/>
          <w:szCs w:val="32"/>
          <w:lang w:val="en-US" w:eastAsia="zh-CN" w:bidi="ar"/>
        </w:rPr>
      </w:pPr>
      <w:r>
        <w:rPr>
          <w:rFonts w:hint="default" w:ascii="华文楷体" w:hAnsi="华文楷体" w:eastAsia="华文楷体" w:cs="华文楷体"/>
          <w:b/>
          <w:bCs/>
          <w:color w:val="000000"/>
          <w:kern w:val="0"/>
          <w:sz w:val="32"/>
          <w:szCs w:val="32"/>
          <w:lang w:val="en-US" w:eastAsia="zh-CN" w:bidi="ar"/>
        </w:rPr>
        <w:t xml:space="preserve">（二）专项支出 </w:t>
      </w:r>
    </w:p>
    <w:p w14:paraId="0800F9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lang w:eastAsia="zh-CN"/>
        </w:rPr>
        <w:t>涉农财政资金共计</w:t>
      </w:r>
      <w:r>
        <w:rPr>
          <w:rFonts w:hint="eastAsia" w:ascii="华文仿宋" w:hAnsi="华文仿宋" w:eastAsia="华文仿宋" w:cs="华文仿宋"/>
          <w:sz w:val="32"/>
          <w:szCs w:val="32"/>
          <w:lang w:val="en-US" w:eastAsia="zh-CN"/>
        </w:rPr>
        <w:t>4281.75万元，其中涉农整合资金项目2602.02万元、农村改厕502.42万元、雨露计划及致富带头人培训716.51万元、小额贷款贴息269.36万元、省市驻村工作队154万元、光伏产业项目372.41万元</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所有财政专项资金</w:t>
      </w:r>
      <w:r>
        <w:rPr>
          <w:rFonts w:hint="eastAsia" w:ascii="华文仿宋" w:hAnsi="华文仿宋" w:eastAsia="华文仿宋" w:cs="华文仿宋"/>
          <w:sz w:val="32"/>
          <w:szCs w:val="32"/>
          <w:lang w:val="en-US" w:eastAsia="zh-CN"/>
        </w:rPr>
        <w:t>4281.75万元，都按照涉农资金分配表已经全部拨付到位。</w:t>
      </w:r>
    </w:p>
    <w:p w14:paraId="292FCE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根据</w:t>
      </w:r>
      <w:r>
        <w:rPr>
          <w:rFonts w:hint="eastAsia" w:ascii="华文仿宋" w:hAnsi="华文仿宋" w:eastAsia="华文仿宋" w:cs="华文仿宋"/>
          <w:color w:val="auto"/>
          <w:sz w:val="32"/>
          <w:szCs w:val="32"/>
        </w:rPr>
        <w:t>辰委乡振组发</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202</w:t>
      </w:r>
      <w:r>
        <w:rPr>
          <w:rFonts w:hint="eastAsia" w:ascii="华文仿宋" w:hAnsi="华文仿宋" w:eastAsia="华文仿宋" w:cs="华文仿宋"/>
          <w:color w:val="auto"/>
          <w:sz w:val="32"/>
          <w:szCs w:val="32"/>
          <w:lang w:val="en-US" w:eastAsia="zh-CN"/>
        </w:rPr>
        <w:t>4</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1</w:t>
      </w:r>
      <w:r>
        <w:rPr>
          <w:rFonts w:hint="eastAsia" w:ascii="华文仿宋" w:hAnsi="华文仿宋" w:eastAsia="华文仿宋" w:cs="华文仿宋"/>
          <w:color w:val="auto"/>
          <w:sz w:val="32"/>
          <w:szCs w:val="32"/>
        </w:rPr>
        <w:t>号《</w:t>
      </w:r>
      <w:r>
        <w:rPr>
          <w:rFonts w:hint="eastAsia" w:ascii="华文仿宋" w:hAnsi="华文仿宋" w:eastAsia="华文仿宋" w:cs="华文仿宋"/>
          <w:color w:val="auto"/>
          <w:sz w:val="32"/>
          <w:szCs w:val="32"/>
          <w:lang w:eastAsia="zh-CN"/>
        </w:rPr>
        <w:t>关于下达</w:t>
      </w:r>
      <w:r>
        <w:rPr>
          <w:rFonts w:hint="eastAsia" w:ascii="华文仿宋" w:hAnsi="华文仿宋" w:eastAsia="华文仿宋" w:cs="华文仿宋"/>
          <w:color w:val="auto"/>
          <w:sz w:val="32"/>
          <w:szCs w:val="32"/>
          <w:lang w:val="en-US" w:eastAsia="zh-CN"/>
        </w:rPr>
        <w:t>2024年巩固拓展脱贫攻坚成果同乡村振兴有效衔接中央财政涉农资金项目计划的通知</w:t>
      </w:r>
      <w:r>
        <w:rPr>
          <w:rFonts w:hint="eastAsia" w:ascii="华文仿宋" w:hAnsi="华文仿宋" w:eastAsia="华文仿宋" w:cs="华文仿宋"/>
          <w:color w:val="auto"/>
          <w:sz w:val="32"/>
          <w:szCs w:val="32"/>
        </w:rPr>
        <w:t>》以下简称整合资金方案、衔接资金使用计划。</w:t>
      </w:r>
    </w:p>
    <w:p w14:paraId="15A7F1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整体专项资金规划和使用都是严格执行整合资金方案、衔接资金使用计划所提出的指导办法，包括项目申报、项目实施、项目变更、组织领导小组、明确职责分工及履行监督。</w:t>
      </w:r>
    </w:p>
    <w:p w14:paraId="19F7492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方正黑体_GBK" w:hAnsi="方正黑体_GBK" w:eastAsia="方正黑体_GBK" w:cs="方正黑体_GBK"/>
          <w:b/>
          <w:bCs/>
          <w:color w:val="auto"/>
          <w:kern w:val="0"/>
          <w:sz w:val="32"/>
          <w:szCs w:val="32"/>
          <w:lang w:val="en-US" w:eastAsia="zh-CN" w:bidi="ar"/>
        </w:rPr>
      </w:pPr>
      <w:r>
        <w:rPr>
          <w:rFonts w:hint="default" w:ascii="方正黑体_GBK" w:hAnsi="方正黑体_GBK" w:eastAsia="方正黑体_GBK" w:cs="方正黑体_GBK"/>
          <w:b/>
          <w:bCs/>
          <w:color w:val="auto"/>
          <w:kern w:val="0"/>
          <w:sz w:val="32"/>
          <w:szCs w:val="32"/>
          <w:lang w:val="en-US" w:eastAsia="zh-CN" w:bidi="ar"/>
        </w:rPr>
        <w:t xml:space="preserve">三、部门专项组织实施情况 </w:t>
      </w:r>
    </w:p>
    <w:p w14:paraId="780B2C09">
      <w:pPr>
        <w:keepNext w:val="0"/>
        <w:keepLines w:val="0"/>
        <w:pageBreakBefore w:val="0"/>
        <w:kinsoku/>
        <w:wordWrap/>
        <w:overflowPunct/>
        <w:topLinePunct w:val="0"/>
        <w:autoSpaceDE/>
        <w:autoSpaceDN/>
        <w:bidi w:val="0"/>
        <w:adjustRightInd/>
        <w:snapToGrid/>
        <w:spacing w:line="560" w:lineRule="exact"/>
        <w:ind w:firstLine="641" w:firstLineChars="200"/>
        <w:textAlignment w:val="auto"/>
        <w:rPr>
          <w:rFonts w:hint="default" w:ascii="华文仿宋" w:hAnsi="华文仿宋" w:eastAsia="华文仿宋" w:cs="华文仿宋"/>
          <w:sz w:val="32"/>
          <w:szCs w:val="32"/>
        </w:rPr>
      </w:pPr>
      <w:r>
        <w:rPr>
          <w:rFonts w:hint="eastAsia" w:ascii="华文楷体" w:hAnsi="华文楷体" w:eastAsia="华文楷体" w:cs="华文楷体"/>
          <w:b/>
          <w:bCs/>
          <w:color w:val="auto"/>
          <w:sz w:val="32"/>
          <w:szCs w:val="32"/>
        </w:rPr>
        <w:t>（一）202</w:t>
      </w:r>
      <w:r>
        <w:rPr>
          <w:rFonts w:hint="eastAsia" w:ascii="华文楷体" w:hAnsi="华文楷体" w:eastAsia="华文楷体" w:cs="华文楷体"/>
          <w:b/>
          <w:bCs/>
          <w:color w:val="auto"/>
          <w:sz w:val="32"/>
          <w:szCs w:val="32"/>
          <w:lang w:val="en-US" w:eastAsia="zh-CN"/>
        </w:rPr>
        <w:t>4</w:t>
      </w:r>
      <w:r>
        <w:rPr>
          <w:rFonts w:hint="eastAsia" w:ascii="华文楷体" w:hAnsi="华文楷体" w:eastAsia="华文楷体" w:cs="华文楷体"/>
          <w:b/>
          <w:bCs/>
          <w:color w:val="auto"/>
          <w:sz w:val="32"/>
          <w:szCs w:val="32"/>
        </w:rPr>
        <w:t>年乡村振兴局实施项目</w:t>
      </w:r>
      <w:r>
        <w:rPr>
          <w:rFonts w:hint="eastAsia" w:ascii="华文楷体" w:hAnsi="华文楷体" w:eastAsia="华文楷体" w:cs="华文楷体"/>
          <w:b/>
          <w:bCs/>
          <w:color w:val="auto"/>
          <w:sz w:val="32"/>
          <w:szCs w:val="32"/>
          <w:lang w:val="en-US" w:eastAsia="zh-CN"/>
        </w:rPr>
        <w:t>6</w:t>
      </w:r>
      <w:r>
        <w:rPr>
          <w:rFonts w:hint="eastAsia" w:ascii="华文楷体" w:hAnsi="华文楷体" w:eastAsia="华文楷体" w:cs="华文楷体"/>
          <w:b/>
          <w:bCs/>
          <w:color w:val="auto"/>
          <w:sz w:val="32"/>
          <w:szCs w:val="32"/>
        </w:rPr>
        <w:t>个</w:t>
      </w:r>
      <w:r>
        <w:rPr>
          <w:rFonts w:hint="default" w:ascii="Times New Roman" w:hAnsi="Times New Roman" w:eastAsia="方正仿宋简体" w:cs="Times New Roman"/>
          <w:color w:val="auto"/>
          <w:sz w:val="32"/>
          <w:szCs w:val="32"/>
        </w:rPr>
        <w:t>，</w:t>
      </w:r>
      <w:r>
        <w:rPr>
          <w:rFonts w:hint="default" w:ascii="华文仿宋" w:hAnsi="华文仿宋" w:eastAsia="华文仿宋" w:cs="华文仿宋"/>
          <w:color w:val="auto"/>
          <w:sz w:val="32"/>
          <w:szCs w:val="32"/>
        </w:rPr>
        <w:t>涉及资金</w:t>
      </w:r>
      <w:r>
        <w:rPr>
          <w:rFonts w:hint="eastAsia" w:ascii="华文仿宋" w:hAnsi="华文仿宋" w:eastAsia="华文仿宋" w:cs="华文仿宋"/>
          <w:color w:val="auto"/>
          <w:sz w:val="32"/>
          <w:szCs w:val="32"/>
          <w:lang w:val="en-US" w:eastAsia="zh-CN"/>
        </w:rPr>
        <w:t>6312.7</w:t>
      </w:r>
      <w:r>
        <w:rPr>
          <w:rFonts w:hint="default" w:ascii="华文仿宋" w:hAnsi="华文仿宋" w:eastAsia="华文仿宋" w:cs="华文仿宋"/>
          <w:color w:val="auto"/>
          <w:sz w:val="32"/>
          <w:szCs w:val="32"/>
        </w:rPr>
        <w:t>万元，需要招投标项目</w:t>
      </w:r>
      <w:r>
        <w:rPr>
          <w:rFonts w:hint="eastAsia" w:ascii="华文仿宋" w:hAnsi="华文仿宋" w:eastAsia="华文仿宋" w:cs="华文仿宋"/>
          <w:color w:val="auto"/>
          <w:sz w:val="32"/>
          <w:szCs w:val="32"/>
          <w:lang w:val="en-US" w:eastAsia="zh-CN"/>
        </w:rPr>
        <w:t>1</w:t>
      </w:r>
      <w:r>
        <w:rPr>
          <w:rFonts w:hint="default" w:ascii="华文仿宋" w:hAnsi="华文仿宋" w:eastAsia="华文仿宋" w:cs="华文仿宋"/>
          <w:color w:val="auto"/>
          <w:sz w:val="32"/>
          <w:szCs w:val="32"/>
        </w:rPr>
        <w:t>个，涉及资金</w:t>
      </w:r>
      <w:r>
        <w:rPr>
          <w:rFonts w:hint="eastAsia" w:ascii="华文仿宋" w:hAnsi="华文仿宋" w:eastAsia="华文仿宋" w:cs="华文仿宋"/>
          <w:color w:val="auto"/>
          <w:sz w:val="32"/>
          <w:szCs w:val="32"/>
          <w:lang w:val="en-US" w:eastAsia="zh-CN"/>
        </w:rPr>
        <w:t>1253.7</w:t>
      </w:r>
      <w:r>
        <w:rPr>
          <w:rFonts w:hint="default" w:ascii="华文仿宋" w:hAnsi="华文仿宋" w:eastAsia="华文仿宋" w:cs="华文仿宋"/>
          <w:color w:val="auto"/>
          <w:sz w:val="32"/>
          <w:szCs w:val="32"/>
        </w:rPr>
        <w:t>万元，</w:t>
      </w:r>
      <w:r>
        <w:rPr>
          <w:rFonts w:hint="default" w:ascii="华文仿宋" w:hAnsi="华文仿宋" w:eastAsia="华文仿宋" w:cs="华文仿宋"/>
          <w:sz w:val="32"/>
          <w:szCs w:val="32"/>
        </w:rPr>
        <w:t>都是按照公式采购意向、财政评审、公开招标的程序实施。项目竣工后，由村申请验收，由我单位组织第三方公司、项目所在乡镇干部及施工方进行验收，验收合格后由第三方审核公司出具结算报告。</w:t>
      </w:r>
    </w:p>
    <w:p w14:paraId="46D61651">
      <w:pPr>
        <w:keepNext w:val="0"/>
        <w:keepLines w:val="0"/>
        <w:pageBreakBefore w:val="0"/>
        <w:kinsoku/>
        <w:wordWrap/>
        <w:overflowPunct/>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sz w:val="32"/>
          <w:szCs w:val="32"/>
        </w:rPr>
      </w:pPr>
      <w:r>
        <w:rPr>
          <w:rFonts w:hint="default" w:ascii="华文楷体" w:hAnsi="华文楷体" w:eastAsia="华文楷体" w:cs="华文楷体"/>
          <w:b/>
          <w:bCs/>
          <w:sz w:val="32"/>
          <w:szCs w:val="32"/>
        </w:rPr>
        <w:t>（二）所有的专项资金</w:t>
      </w:r>
      <w:r>
        <w:rPr>
          <w:rFonts w:hint="eastAsia" w:ascii="华文仿宋" w:hAnsi="华文仿宋" w:eastAsia="华文仿宋" w:cs="华文仿宋"/>
          <w:sz w:val="32"/>
          <w:szCs w:val="32"/>
        </w:rPr>
        <w:t>都是根据《根据财政部、农业农村部、国家乡村振兴局、国家发改委等部委联合下发的《中央财政衔接推进乡村振兴补助资金管理办法》（财农〔2022〕10号）、《中央财政衔接推进乡村振兴补助资金使用管理的指导意见》（财农〔2022〕14号）、《关于转发财政部 农业农村部 国家乡村振兴局 国家发改委 国家民委 国家林草局关于加强中央财政衔接推进乡村振兴补助资金使用管理的指导意见》（湘财农〔2022〕6号）和《湖南省财政衔接推进乡村振兴补助资金管理办法》（湘财农〔2021〕10号）等文件要求对项目从申报、立项、施工、验收严格按照程序进行管理，并对项目在实施过程中对项目进行绩效目标监控。</w:t>
      </w:r>
    </w:p>
    <w:p w14:paraId="6BFEF7E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方正黑体_GBK" w:hAnsi="方正黑体_GBK" w:eastAsia="方正黑体_GBK" w:cs="方正黑体_GBK"/>
          <w:b/>
          <w:bCs/>
          <w:color w:val="000000"/>
          <w:kern w:val="0"/>
          <w:sz w:val="32"/>
          <w:szCs w:val="32"/>
          <w:lang w:val="en-US" w:eastAsia="zh-CN" w:bidi="ar"/>
        </w:rPr>
      </w:pPr>
      <w:r>
        <w:rPr>
          <w:rFonts w:hint="eastAsia" w:ascii="方正黑体_GBK" w:hAnsi="方正黑体_GBK" w:eastAsia="方正黑体_GBK" w:cs="方正黑体_GBK"/>
          <w:b/>
          <w:bCs/>
          <w:color w:val="000000"/>
          <w:kern w:val="0"/>
          <w:sz w:val="32"/>
          <w:szCs w:val="32"/>
          <w:lang w:val="en-US" w:eastAsia="zh-CN" w:bidi="ar"/>
        </w:rPr>
        <w:t xml:space="preserve">四、资产管理情况 </w:t>
      </w:r>
    </w:p>
    <w:p w14:paraId="24A9A7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b w:val="0"/>
          <w:bCs w:val="0"/>
          <w:color w:val="000000"/>
          <w:kern w:val="0"/>
          <w:sz w:val="32"/>
          <w:szCs w:val="32"/>
          <w:lang w:val="en-US" w:eastAsia="zh-CN" w:bidi="ar"/>
        </w:rPr>
        <w:t>2024年末我局固定资产总计</w:t>
      </w:r>
      <w:r>
        <w:rPr>
          <w:rFonts w:hint="eastAsia" w:ascii="华文仿宋" w:hAnsi="华文仿宋" w:eastAsia="华文仿宋" w:cs="华文仿宋"/>
          <w:b w:val="0"/>
          <w:bCs w:val="0"/>
          <w:color w:val="auto"/>
          <w:kern w:val="0"/>
          <w:sz w:val="32"/>
          <w:szCs w:val="32"/>
          <w:lang w:val="en-US" w:eastAsia="zh-CN" w:bidi="ar"/>
        </w:rPr>
        <w:t xml:space="preserve"> 10.34</w:t>
      </w:r>
      <w:r>
        <w:rPr>
          <w:rFonts w:hint="eastAsia" w:ascii="华文仿宋" w:hAnsi="华文仿宋" w:eastAsia="华文仿宋" w:cs="华文仿宋"/>
          <w:b w:val="0"/>
          <w:bCs w:val="0"/>
          <w:color w:val="000000"/>
          <w:kern w:val="0"/>
          <w:sz w:val="32"/>
          <w:szCs w:val="32"/>
          <w:lang w:val="en-US" w:eastAsia="zh-CN" w:bidi="ar"/>
        </w:rPr>
        <w:t>万元，都是办公设备购置。</w:t>
      </w:r>
      <w:r>
        <w:rPr>
          <w:rFonts w:hint="eastAsia" w:ascii="华文仿宋" w:hAnsi="华文仿宋" w:eastAsia="华文仿宋" w:cs="华文仿宋"/>
          <w:b w:val="0"/>
          <w:bCs w:val="0"/>
          <w:color w:val="000000" w:themeColor="text1"/>
          <w:kern w:val="0"/>
          <w:sz w:val="32"/>
          <w:szCs w:val="32"/>
          <w:lang w:val="en-US" w:eastAsia="zh-CN" w:bidi="ar"/>
          <w14:textFill>
            <w14:solidFill>
              <w14:schemeClr w14:val="tx1"/>
            </w14:solidFill>
          </w14:textFill>
        </w:rPr>
        <w:t>严格执行</w:t>
      </w:r>
      <w:r>
        <w:rPr>
          <w:rFonts w:hint="eastAsia" w:ascii="华文仿宋" w:hAnsi="华文仿宋" w:eastAsia="华文仿宋" w:cs="华文仿宋"/>
          <w:b w:val="0"/>
          <w:bCs w:val="0"/>
          <w:i w:val="0"/>
          <w:iCs w:val="0"/>
          <w:caps w:val="0"/>
          <w:color w:val="000000" w:themeColor="text1"/>
          <w:spacing w:val="0"/>
          <w:sz w:val="32"/>
          <w:szCs w:val="32"/>
          <w:shd w:val="clear" w:fill="FFFFFF"/>
          <w14:textFill>
            <w14:solidFill>
              <w14:schemeClr w14:val="tx1"/>
            </w14:solidFill>
          </w14:textFill>
        </w:rPr>
        <w:t>辰政办发〔2017〕73号《辰溪县</w:t>
      </w:r>
      <w:bookmarkStart w:id="0" w:name="_GoBack"/>
      <w:bookmarkEnd w:id="0"/>
      <w:r>
        <w:rPr>
          <w:rFonts w:hint="eastAsia" w:ascii="华文仿宋" w:hAnsi="华文仿宋" w:eastAsia="华文仿宋" w:cs="华文仿宋"/>
          <w:b w:val="0"/>
          <w:bCs w:val="0"/>
          <w:i w:val="0"/>
          <w:iCs w:val="0"/>
          <w:caps w:val="0"/>
          <w:color w:val="000000" w:themeColor="text1"/>
          <w:spacing w:val="0"/>
          <w:sz w:val="32"/>
          <w:szCs w:val="32"/>
          <w:shd w:val="clear" w:fill="FFFFFF"/>
          <w14:textFill>
            <w14:solidFill>
              <w14:schemeClr w14:val="tx1"/>
            </w14:solidFill>
          </w14:textFill>
        </w:rPr>
        <w:t>行政事业单位国有资产管理暂行办法》</w:t>
      </w:r>
      <w:r>
        <w:rPr>
          <w:rFonts w:hint="eastAsia" w:ascii="华文仿宋" w:hAnsi="华文仿宋" w:eastAsia="华文仿宋" w:cs="华文仿宋"/>
          <w:b w:val="0"/>
          <w:bCs w:val="0"/>
          <w:i w:val="0"/>
          <w:iCs w:val="0"/>
          <w:caps w:val="0"/>
          <w:color w:val="000000" w:themeColor="text1"/>
          <w:spacing w:val="0"/>
          <w:sz w:val="32"/>
          <w:szCs w:val="32"/>
          <w:shd w:val="clear" w:fill="FFFFFF"/>
          <w:lang w:eastAsia="zh-CN"/>
          <w14:textFill>
            <w14:solidFill>
              <w14:schemeClr w14:val="tx1"/>
            </w14:solidFill>
          </w14:textFill>
        </w:rPr>
        <w:t>对国有资产进行管理，</w:t>
      </w:r>
      <w:r>
        <w:rPr>
          <w:rFonts w:hint="eastAsia" w:ascii="华文仿宋" w:hAnsi="华文仿宋" w:eastAsia="华文仿宋" w:cs="华文仿宋"/>
          <w:b w:val="0"/>
          <w:bCs w:val="0"/>
          <w:color w:val="000000"/>
          <w:kern w:val="0"/>
          <w:sz w:val="32"/>
          <w:szCs w:val="32"/>
          <w:lang w:val="en-US" w:eastAsia="zh-CN" w:bidi="ar"/>
        </w:rPr>
        <w:t>严格落实固定资产清查、登记、上报制度，定期进行清查盘点，及时更新财政资产管理系统，做到账实相符。明确责任履行好职责，对资产处置按规定办理资产处置手续，并及时做好账务处理。</w:t>
      </w:r>
    </w:p>
    <w:p w14:paraId="05CA9D0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黑体_GBK" w:hAnsi="方正黑体_GBK" w:eastAsia="方正黑体_GBK" w:cs="方正黑体_GBK"/>
          <w:b/>
          <w:bCs/>
          <w:color w:val="000000"/>
          <w:kern w:val="0"/>
          <w:sz w:val="32"/>
          <w:szCs w:val="32"/>
          <w:lang w:val="en-US" w:eastAsia="zh-CN" w:bidi="ar"/>
        </w:rPr>
      </w:pPr>
      <w:r>
        <w:rPr>
          <w:rFonts w:hint="eastAsia" w:ascii="方正黑体_GBK" w:hAnsi="方正黑体_GBK" w:eastAsia="方正黑体_GBK" w:cs="方正黑体_GBK"/>
          <w:b/>
          <w:bCs/>
          <w:color w:val="000000"/>
          <w:kern w:val="0"/>
          <w:sz w:val="32"/>
          <w:szCs w:val="32"/>
          <w:lang w:val="en-US" w:eastAsia="zh-CN" w:bidi="ar"/>
        </w:rPr>
        <w:t xml:space="preserve">五、部门整体支出绩效情况  </w:t>
      </w:r>
    </w:p>
    <w:p w14:paraId="06E5E4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经济性方面：项目决算支出基本跟预算持平，行政运行决算支出比预算稍高，主要有以下两点原因：①由于财政报账的原因上年度部分费用在今年支出。②年初公用经费预算做少了。在成本控制上做到能减尽减厉行节约的原则，2024年初三公经费预算只有公务接待费11万，决算支出只有10.69万。</w:t>
      </w:r>
    </w:p>
    <w:p w14:paraId="3422C5D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效率性方面：农村改厕、人居环境基础设施建设项目周期1年基本年底都能完成验收并交付使用。雨露计划、脱贫户小额贴息项目都及时拨付到位。</w:t>
      </w:r>
    </w:p>
    <w:p w14:paraId="2AAAEB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有效性方面：所有项目</w:t>
      </w:r>
      <w:r>
        <w:rPr>
          <w:rFonts w:hint="eastAsia" w:ascii="华文仿宋" w:hAnsi="华文仿宋" w:eastAsia="华文仿宋" w:cs="华文仿宋"/>
          <w:i w:val="0"/>
          <w:iCs w:val="0"/>
          <w:caps w:val="0"/>
          <w:color w:val="000000"/>
          <w:spacing w:val="0"/>
          <w:sz w:val="32"/>
          <w:szCs w:val="32"/>
          <w:shd w:val="clear" w:fill="FFFFFF"/>
        </w:rPr>
        <w:t>达到预期绩效目标</w:t>
      </w:r>
      <w:r>
        <w:rPr>
          <w:rFonts w:hint="eastAsia" w:ascii="华文仿宋" w:hAnsi="华文仿宋" w:eastAsia="华文仿宋" w:cs="华文仿宋"/>
          <w:i w:val="0"/>
          <w:iCs w:val="0"/>
          <w:caps w:val="0"/>
          <w:color w:val="000000"/>
          <w:spacing w:val="0"/>
          <w:sz w:val="32"/>
          <w:szCs w:val="32"/>
          <w:shd w:val="clear" w:fill="FFFFFF"/>
          <w:lang w:eastAsia="zh-CN"/>
        </w:rPr>
        <w:t>。</w:t>
      </w:r>
      <w:r>
        <w:rPr>
          <w:rFonts w:hint="eastAsia" w:ascii="华文仿宋" w:hAnsi="华文仿宋" w:eastAsia="华文仿宋" w:cs="华文仿宋"/>
          <w:color w:val="000000"/>
          <w:kern w:val="0"/>
          <w:sz w:val="32"/>
          <w:szCs w:val="32"/>
          <w:lang w:val="en-US" w:eastAsia="zh-CN" w:bidi="ar"/>
        </w:rPr>
        <w:t>让老百姓得到了实惠，改变了生活环境，提升了生活状态，增加了脱贫户收入，减少了脱贫户反贫的风险，与习近平总书记提出乡村振兴防止规模性返贫的目标保持高度一致。</w:t>
      </w:r>
    </w:p>
    <w:p w14:paraId="694DD8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可持续性方面：</w:t>
      </w:r>
    </w:p>
    <w:p w14:paraId="101E46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0"/>
          <w:sz w:val="31"/>
          <w:szCs w:val="31"/>
          <w:lang w:val="en-US" w:eastAsia="zh-CN" w:bidi="ar"/>
        </w:rPr>
      </w:pPr>
      <w:r>
        <w:rPr>
          <w:rFonts w:hint="eastAsia" w:ascii="华文仿宋" w:hAnsi="华文仿宋" w:eastAsia="华文仿宋" w:cs="华文仿宋"/>
          <w:color w:val="000000"/>
          <w:kern w:val="0"/>
          <w:sz w:val="32"/>
          <w:szCs w:val="32"/>
          <w:lang w:val="en-US" w:eastAsia="zh-CN" w:bidi="ar"/>
        </w:rPr>
        <w:t xml:space="preserve">运用好项目资金，持续在农村改厕、雨露计划、脱贫户小额信贷及数字乡村建设等项目。努力打造美丽乡村，改善人居环境，实现乡村振兴的整体目标。           </w:t>
      </w:r>
      <w:r>
        <w:rPr>
          <w:rFonts w:hint="eastAsia" w:ascii="仿宋" w:hAnsi="仿宋" w:eastAsia="仿宋" w:cs="仿宋"/>
          <w:color w:val="000000"/>
          <w:kern w:val="0"/>
          <w:sz w:val="31"/>
          <w:szCs w:val="31"/>
          <w:lang w:val="en-US" w:eastAsia="zh-CN" w:bidi="ar"/>
        </w:rPr>
        <w:t xml:space="preserve">                                                                                                                                                                                                                                                                                                                                                                              </w:t>
      </w:r>
    </w:p>
    <w:p w14:paraId="0D6BC56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黑体_GBK" w:hAnsi="方正黑体_GBK" w:eastAsia="方正黑体_GBK" w:cs="方正黑体_GBK"/>
          <w:b/>
          <w:bCs/>
          <w:color w:val="000000"/>
          <w:kern w:val="0"/>
          <w:sz w:val="32"/>
          <w:szCs w:val="32"/>
          <w:lang w:val="en-US" w:eastAsia="zh-CN" w:bidi="ar"/>
        </w:rPr>
      </w:pPr>
      <w:r>
        <w:rPr>
          <w:rFonts w:hint="eastAsia" w:ascii="方正黑体_GBK" w:hAnsi="方正黑体_GBK" w:eastAsia="方正黑体_GBK" w:cs="方正黑体_GBK"/>
          <w:b/>
          <w:bCs/>
          <w:color w:val="000000"/>
          <w:kern w:val="0"/>
          <w:sz w:val="32"/>
          <w:szCs w:val="32"/>
          <w:lang w:val="en-US" w:eastAsia="zh-CN" w:bidi="ar"/>
        </w:rPr>
        <w:t xml:space="preserve">六、存在的主要问题 </w:t>
      </w:r>
    </w:p>
    <w:p w14:paraId="064499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1、所有项目设立了项目资金绩效目标，但目标不够明确、细化和量化，不能充分反映项目开展的过程及成效。</w:t>
      </w:r>
    </w:p>
    <w:p w14:paraId="52A0FC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2、制度建设方面有所欠缺，资金使用效益有待进一步提高。 </w:t>
      </w:r>
    </w:p>
    <w:p w14:paraId="0F209E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3、财务人员欠深入了解项目资金的动向，不能及时准确掌握相关数据。</w:t>
      </w:r>
    </w:p>
    <w:p w14:paraId="6251923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黑体_GBK" w:hAnsi="方正黑体_GBK" w:eastAsia="方正黑体_GBK" w:cs="方正黑体_GBK"/>
          <w:b/>
          <w:bCs/>
          <w:color w:val="000000"/>
          <w:kern w:val="0"/>
          <w:sz w:val="32"/>
          <w:szCs w:val="32"/>
          <w:lang w:val="en-US" w:eastAsia="zh-CN" w:bidi="ar"/>
        </w:rPr>
      </w:pPr>
      <w:r>
        <w:rPr>
          <w:rFonts w:hint="eastAsia" w:ascii="方正黑体_GBK" w:hAnsi="方正黑体_GBK" w:eastAsia="方正黑体_GBK" w:cs="方正黑体_GBK"/>
          <w:b/>
          <w:bCs/>
          <w:color w:val="000000"/>
          <w:kern w:val="0"/>
          <w:sz w:val="32"/>
          <w:szCs w:val="32"/>
          <w:lang w:val="en-US" w:eastAsia="zh-CN" w:bidi="ar"/>
        </w:rPr>
        <w:t xml:space="preserve">七、改进措施和有关建议 </w:t>
      </w:r>
    </w:p>
    <w:p w14:paraId="6F729A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细化项目绩效评价指标，建立详细的项目资金使用管理办法，跟踪资金使用情况，争取做到业财融合。</w:t>
      </w:r>
    </w:p>
    <w:p w14:paraId="4DED1FAC">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XiaoBiaoSong-B05">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ODY5MTExMmZjZDcxYzJmNDY2M2FkM2E3ZDA2NzgifQ=="/>
  </w:docVars>
  <w:rsids>
    <w:rsidRoot w:val="00000000"/>
    <w:rsid w:val="026B5B29"/>
    <w:rsid w:val="037D3136"/>
    <w:rsid w:val="0E2303DE"/>
    <w:rsid w:val="1111054B"/>
    <w:rsid w:val="1111746F"/>
    <w:rsid w:val="14B051F1"/>
    <w:rsid w:val="14EE172C"/>
    <w:rsid w:val="15E27776"/>
    <w:rsid w:val="16CE12F2"/>
    <w:rsid w:val="1AB33345"/>
    <w:rsid w:val="1E4D45FB"/>
    <w:rsid w:val="22D5338A"/>
    <w:rsid w:val="22EE13BE"/>
    <w:rsid w:val="24244C66"/>
    <w:rsid w:val="26DC3086"/>
    <w:rsid w:val="2A0E0598"/>
    <w:rsid w:val="2AE752C2"/>
    <w:rsid w:val="2B5D5D69"/>
    <w:rsid w:val="2BDEBFA8"/>
    <w:rsid w:val="2DF06932"/>
    <w:rsid w:val="303E7A47"/>
    <w:rsid w:val="30BD4AC6"/>
    <w:rsid w:val="31B20089"/>
    <w:rsid w:val="38C509BB"/>
    <w:rsid w:val="3C9C1A33"/>
    <w:rsid w:val="43CF6B25"/>
    <w:rsid w:val="449C4CC6"/>
    <w:rsid w:val="4585575A"/>
    <w:rsid w:val="46641814"/>
    <w:rsid w:val="49CC0BE2"/>
    <w:rsid w:val="4B3E382E"/>
    <w:rsid w:val="4C2630C7"/>
    <w:rsid w:val="534529CD"/>
    <w:rsid w:val="5B264E92"/>
    <w:rsid w:val="5B98317F"/>
    <w:rsid w:val="5DF5E39B"/>
    <w:rsid w:val="604A1623"/>
    <w:rsid w:val="62D11B87"/>
    <w:rsid w:val="631877B6"/>
    <w:rsid w:val="66A663DB"/>
    <w:rsid w:val="6A4E5AC8"/>
    <w:rsid w:val="6B481118"/>
    <w:rsid w:val="6F4F4336"/>
    <w:rsid w:val="705838E8"/>
    <w:rsid w:val="70822713"/>
    <w:rsid w:val="71515372"/>
    <w:rsid w:val="727918F3"/>
    <w:rsid w:val="759D49EA"/>
    <w:rsid w:val="769D3494"/>
    <w:rsid w:val="77E43734"/>
    <w:rsid w:val="7A383BCB"/>
    <w:rsid w:val="7D1F2BD5"/>
    <w:rsid w:val="7F7122D0"/>
    <w:rsid w:val="BEEF6A59"/>
    <w:rsid w:val="F3DF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2390</Words>
  <Characters>2582</Characters>
  <Lines>0</Lines>
  <Paragraphs>0</Paragraphs>
  <TotalTime>95</TotalTime>
  <ScaleCrop>false</ScaleCrop>
  <LinksUpToDate>false</LinksUpToDate>
  <CharactersWithSpaces>2994</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2023-04-04T02:35:00Z</dcterms:created>
  <dc:creator>Administrator</dc:creator>
  <cp:lastModifiedBy>鸥洋</cp:lastModifiedBy>
  <cp:lastPrinted>2024-04-23T13:10:00Z</cp:lastPrinted>
  <dcterms:modified xsi:type="dcterms:W3CDTF">2025-09-29T20:15:17Z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CA9A309BA4BE4A4F82FA623FFF1A46DC_13</vt:lpwstr>
  </property>
</Properties>
</file>