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1" w:lineRule="auto"/>
        <w:ind w:left="7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附件</w:t>
      </w:r>
      <w:r>
        <w:rPr>
          <w:rFonts w:ascii="仿宋" w:hAnsi="仿宋" w:eastAsia="仿宋" w:cs="仿宋"/>
          <w:sz w:val="23"/>
          <w:szCs w:val="23"/>
        </w:rPr>
        <w:t>8</w:t>
      </w:r>
    </w:p>
    <w:p>
      <w:pPr>
        <w:spacing w:before="3" w:line="404" w:lineRule="exact"/>
        <w:ind w:firstLine="5260"/>
        <w:textAlignment w:val="center"/>
      </w:pPr>
      <w:r>
        <w:drawing>
          <wp:inline distT="0" distB="0" distL="0" distR="0">
            <wp:extent cx="3656965" cy="256540"/>
            <wp:effectExtent l="0" t="0" r="635" b="1016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599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" w:lineRule="exact"/>
      </w:pPr>
    </w:p>
    <w:tbl>
      <w:tblPr>
        <w:tblStyle w:val="4"/>
        <w:tblW w:w="162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914"/>
        <w:gridCol w:w="1590"/>
        <w:gridCol w:w="645"/>
        <w:gridCol w:w="914"/>
        <w:gridCol w:w="1079"/>
        <w:gridCol w:w="1079"/>
        <w:gridCol w:w="945"/>
        <w:gridCol w:w="973"/>
        <w:gridCol w:w="959"/>
        <w:gridCol w:w="973"/>
        <w:gridCol w:w="870"/>
        <w:gridCol w:w="810"/>
        <w:gridCol w:w="959"/>
        <w:gridCol w:w="914"/>
        <w:gridCol w:w="914"/>
        <w:gridCol w:w="8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3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9" w:lineRule="auto"/>
              <w:ind w:left="1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目类别</w:t>
            </w:r>
          </w:p>
        </w:tc>
        <w:tc>
          <w:tcPr>
            <w:tcW w:w="26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9" w:lineRule="auto"/>
              <w:ind w:left="7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门预算项目</w:t>
            </w:r>
          </w:p>
        </w:tc>
        <w:tc>
          <w:tcPr>
            <w:tcW w:w="29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9" w:lineRule="auto"/>
              <w:ind w:left="1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7293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tabs>
                <w:tab w:val="left" w:pos="964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农村产权交易平台经费及土地确权服务费、宅基地工作经费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3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9" w:lineRule="auto"/>
              <w:ind w:left="7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主管部门及预算编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码</w:t>
            </w:r>
          </w:p>
        </w:tc>
        <w:tc>
          <w:tcPr>
            <w:tcW w:w="26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农业农村局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5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</w:p>
        </w:tc>
        <w:tc>
          <w:tcPr>
            <w:tcW w:w="921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132"/>
              </w:tabs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lang w:eastAsia="zh-CN"/>
              </w:rPr>
              <w:t>辰溪县农村经营服务站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324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/>
              <w:ind w:left="1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目资金</w:t>
            </w:r>
          </w:p>
          <w:p>
            <w:pPr>
              <w:spacing w:line="229" w:lineRule="auto"/>
              <w:ind w:left="1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(万元)</w:t>
            </w:r>
          </w:p>
        </w:tc>
        <w:tc>
          <w:tcPr>
            <w:tcW w:w="371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9" w:lineRule="auto"/>
              <w:ind w:left="1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初预算数</w:t>
            </w:r>
          </w:p>
        </w:tc>
        <w:tc>
          <w:tcPr>
            <w:tcW w:w="35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9" w:lineRule="auto"/>
              <w:ind w:left="1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-**月执行数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9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全年预计执行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32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7" w:lineRule="auto"/>
              <w:ind w:left="238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度资金总额：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38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35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230.25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32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7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中：本年一般公共预算拨款</w:t>
            </w:r>
          </w:p>
        </w:tc>
        <w:tc>
          <w:tcPr>
            <w:tcW w:w="38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35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230.25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324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7" w:lineRule="auto"/>
              <w:ind w:left="1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</w:p>
        </w:tc>
        <w:tc>
          <w:tcPr>
            <w:tcW w:w="38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191" w:lineRule="auto"/>
              <w:ind w:left="188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5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191" w:lineRule="auto"/>
              <w:ind w:left="174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191" w:lineRule="auto"/>
              <w:ind w:left="86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5" w:lineRule="auto"/>
              <w:ind w:left="117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年度总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目标</w:t>
            </w:r>
          </w:p>
        </w:tc>
        <w:tc>
          <w:tcPr>
            <w:tcW w:w="15432" w:type="dxa"/>
            <w:gridSpan w:val="1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</w:rPr>
              <w:t>全县23个镇，272个村，农户申请宅基地264宗，完善审批机制，建立联审联办机制和窗口i，规范办事流程，解决农民办事难问题，制止农民乱建房违法行为，保障农民合法权利和利益</w:t>
            </w:r>
            <w:r>
              <w:rPr>
                <w:rFonts w:hint="eastAsia" w:ascii="Arial Unicode MS" w:hAnsi="Arial Unicode MS" w:eastAsia="Arial Unicode MS" w:cs="Arial Unicode MS"/>
                <w:sz w:val="21"/>
                <w:lang w:val="en-US" w:eastAsia="zh-CN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完成土地确权颁证后续各项工作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依托县农村产权交易平台规范土地流转、盘活农村资产资源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8" w:line="212" w:lineRule="auto"/>
              <w:ind w:left="2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 xml:space="preserve"> 效 指 标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327" w:lineRule="exact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级指标</w:t>
            </w:r>
          </w:p>
        </w:tc>
        <w:tc>
          <w:tcPr>
            <w:tcW w:w="15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6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6" w:line="256" w:lineRule="auto"/>
              <w:ind w:left="129" w:right="11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7" w:line="255" w:lineRule="auto"/>
              <w:ind w:left="360" w:right="48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年度指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值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6" w:line="256" w:lineRule="auto"/>
              <w:ind w:left="344" w:right="27" w:hanging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1-**月执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况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6" w:line="256" w:lineRule="auto"/>
              <w:ind w:left="247" w:right="29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年预计完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况</w:t>
            </w:r>
          </w:p>
        </w:tc>
        <w:tc>
          <w:tcPr>
            <w:tcW w:w="553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9" w:lineRule="auto"/>
              <w:ind w:left="2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差原因分析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9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成目标可能性</w:t>
            </w:r>
          </w:p>
        </w:tc>
        <w:tc>
          <w:tcPr>
            <w:tcW w:w="8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经费</w:t>
            </w:r>
          </w:p>
          <w:p>
            <w:pPr>
              <w:spacing w:line="209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障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度</w:t>
            </w:r>
          </w:p>
          <w:p>
            <w:pPr>
              <w:spacing w:line="20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障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人员</w:t>
            </w:r>
          </w:p>
          <w:p>
            <w:pPr>
              <w:spacing w:line="209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障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5" w:lineRule="auto"/>
              <w:ind w:left="196" w:righ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件条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保障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7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因</w:t>
            </w:r>
          </w:p>
          <w:p>
            <w:pPr>
              <w:spacing w:line="20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定能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30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有可能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5" w:lineRule="auto"/>
              <w:ind w:left="174" w:right="138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完全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可能</w:t>
            </w:r>
          </w:p>
        </w:tc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214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目 完 成</w:t>
            </w:r>
          </w:p>
        </w:tc>
        <w:tc>
          <w:tcPr>
            <w:tcW w:w="15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ind w:firstLine="316" w:firstLineChars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农户申请宅基地宗数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264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100%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hAnsi="Arial" w:cs="Arial"/>
                <w:sz w:val="21"/>
              </w:rPr>
            </w:pPr>
            <w:r>
              <w:rPr>
                <w:rFonts w:hint="default" w:ascii="Arial" w:hAnsi="Arial" w:eastAsia="仿宋" w:cs="Arial"/>
                <w:sz w:val="21"/>
                <w:szCs w:val="21"/>
              </w:rPr>
              <w:t>土地确权颁证后续各项工作目前已入馆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lang w:val="en-US" w:eastAsia="zh-CN"/>
              </w:rPr>
              <w:t>98111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3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质量指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default" w:ascii="Arial" w:hAnsi="Arial" w:cs="Arial"/>
              </w:rPr>
              <w:t>违法建房事件发生率</w:t>
            </w:r>
            <w:r>
              <w:rPr>
                <w:rFonts w:hint="default" w:ascii="Arial" w:hAnsi="Arial" w:eastAsia="宋体" w:cs="Arial"/>
                <w:lang w:val="en-US" w:eastAsia="zh-CN"/>
              </w:rPr>
              <w:t>,</w:t>
            </w:r>
            <w:r>
              <w:rPr>
                <w:rFonts w:hint="default" w:ascii="Arial" w:hAnsi="Arial" w:eastAsia="仿宋" w:cs="Arial"/>
                <w:sz w:val="21"/>
                <w:szCs w:val="21"/>
              </w:rPr>
              <w:t>土地确权颁证后续各项工作目前已入馆档案98111户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1"/>
                <w:lang w:val="en-US" w:eastAsia="zh-CN"/>
              </w:rPr>
            </w:pPr>
            <w:r>
              <w:rPr>
                <w:rFonts w:hint="default" w:ascii="Arial" w:hAnsi="Arial" w:cs="Arial"/>
              </w:rPr>
              <w:t>违法建房事件发生</w:t>
            </w:r>
            <w:r>
              <w:rPr>
                <w:rFonts w:hint="default" w:ascii="Arial" w:hAnsi="Arial" w:eastAsia="宋体" w:cs="Arial"/>
                <w:lang w:val="en-US" w:eastAsia="zh-CN"/>
              </w:rPr>
              <w:t>o,</w:t>
            </w:r>
            <w:r>
              <w:rPr>
                <w:rFonts w:hint="default" w:ascii="Arial" w:hAnsi="Arial" w:eastAsia="仿宋" w:cs="Arial"/>
                <w:sz w:val="21"/>
                <w:szCs w:val="21"/>
              </w:rPr>
              <w:t>地确权颁证后续各项工作目前已入馆档案</w:t>
            </w:r>
            <w:r>
              <w:rPr>
                <w:rFonts w:hint="default" w:ascii="Arial" w:hAnsi="Arial" w:eastAsia="仿宋" w:cs="Arial"/>
                <w:sz w:val="21"/>
                <w:szCs w:val="21"/>
                <w:lang w:val="en-US" w:eastAsia="zh-CN"/>
              </w:rPr>
              <w:t>98111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lang w:val="en-US" w:eastAsia="zh-CN"/>
              </w:rPr>
              <w:t>完成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0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效指标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ind w:firstLine="349" w:firstLineChars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项目完成的及时性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效益指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标</w:t>
            </w: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会效益</w:t>
            </w:r>
          </w:p>
          <w:p>
            <w:pPr>
              <w:spacing w:line="207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形成遵守国家有关农村宅基地的氛围</w:t>
            </w:r>
            <w:r>
              <w:rPr>
                <w:rFonts w:hint="eastAsia" w:eastAsia="宋体"/>
                <w:sz w:val="21"/>
                <w:lang w:val="en-US" w:eastAsia="zh-CN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有序推进农村土地流转，</w:t>
            </w:r>
            <w:r>
              <w:rPr>
                <w:rFonts w:hint="eastAsia" w:ascii="Arial Unicode MS" w:hAnsi="Arial Unicode MS" w:eastAsia="Arial Unicode MS" w:cs="Arial Unicode MS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促进农村经济持续发展</w:t>
            </w:r>
          </w:p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效果明显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效果明显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4" w:lineRule="auto"/>
              <w:ind w:left="600" w:right="286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可持续影响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sz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lang w:eastAsia="zh-CN"/>
              </w:rPr>
              <w:t>不断提升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sz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lang w:eastAsia="zh-CN"/>
              </w:rPr>
              <w:t>不断提升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sz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lang w:eastAsia="zh-CN"/>
              </w:rPr>
              <w:t>不断提升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9" w:line="256" w:lineRule="auto"/>
              <w:ind w:left="360" w:right="50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满意度指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标</w:t>
            </w:r>
          </w:p>
        </w:tc>
        <w:tc>
          <w:tcPr>
            <w:tcW w:w="15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00" w:line="255" w:lineRule="auto"/>
              <w:ind w:left="301" w:right="286" w:firstLine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服务对象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农民满意度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9</w:t>
            </w: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  <w:r>
              <w:rPr>
                <w:rFonts w:hint="eastAsia" w:ascii="Arial"/>
                <w:sz w:val="21"/>
              </w:rPr>
              <w:t>%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9</w:t>
            </w: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  <w:r>
              <w:rPr>
                <w:rFonts w:hint="eastAsia" w:ascii="Arial"/>
                <w:sz w:val="21"/>
              </w:rPr>
              <w:t>%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√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2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31" w:lineRule="auto"/>
        <w:ind w:left="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5"/>
          <w:sz w:val="19"/>
          <w:szCs w:val="19"/>
        </w:rPr>
        <w:t>注</w:t>
      </w:r>
      <w:r>
        <w:rPr>
          <w:rFonts w:ascii="宋体" w:hAnsi="宋体" w:eastAsia="宋体" w:cs="宋体"/>
          <w:spacing w:val="8"/>
          <w:sz w:val="19"/>
          <w:szCs w:val="19"/>
        </w:rPr>
        <w:t>：1．项目类别：是指部门预算项目或专项预算项目。</w:t>
      </w:r>
    </w:p>
    <w:p>
      <w:pPr>
        <w:spacing w:before="55" w:line="258" w:lineRule="exact"/>
        <w:ind w:left="4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position w:val="1"/>
          <w:sz w:val="19"/>
          <w:szCs w:val="19"/>
        </w:rPr>
        <w:t>2．偏差原</w:t>
      </w:r>
      <w:r>
        <w:rPr>
          <w:rFonts w:ascii="宋体" w:hAnsi="宋体" w:eastAsia="宋体" w:cs="宋体"/>
          <w:spacing w:val="10"/>
          <w:position w:val="1"/>
          <w:sz w:val="19"/>
          <w:szCs w:val="19"/>
        </w:rPr>
        <w:t>因</w:t>
      </w:r>
      <w:r>
        <w:rPr>
          <w:rFonts w:ascii="宋体" w:hAnsi="宋体" w:eastAsia="宋体" w:cs="宋体"/>
          <w:spacing w:val="8"/>
          <w:position w:val="1"/>
          <w:sz w:val="19"/>
          <w:szCs w:val="19"/>
        </w:rPr>
        <w:t>分析：针对与预期目标产生偏差的指标值，分别从经费保障、制度保障、人员保障、硬件条件保障等方面进行判断和分析，并说明原因。</w:t>
      </w:r>
    </w:p>
    <w:p>
      <w:pPr>
        <w:spacing w:before="35" w:line="257" w:lineRule="exact"/>
        <w:ind w:left="4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position w:val="1"/>
          <w:sz w:val="19"/>
          <w:szCs w:val="19"/>
        </w:rPr>
        <w:t>3．完</w:t>
      </w:r>
      <w:r>
        <w:rPr>
          <w:rFonts w:ascii="宋体" w:hAnsi="宋体" w:eastAsia="宋体" w:cs="宋体"/>
          <w:spacing w:val="12"/>
          <w:position w:val="1"/>
          <w:sz w:val="19"/>
          <w:szCs w:val="19"/>
        </w:rPr>
        <w:t>成</w:t>
      </w:r>
      <w:r>
        <w:rPr>
          <w:rFonts w:ascii="宋体" w:hAnsi="宋体" w:eastAsia="宋体" w:cs="宋体"/>
          <w:spacing w:val="8"/>
          <w:position w:val="1"/>
          <w:sz w:val="19"/>
          <w:szCs w:val="19"/>
        </w:rPr>
        <w:t>目标可能性：对应所设定的实现绩效目标的路径，分确定能、有可能、完全不可能三级综合判断完成的可能性。</w:t>
      </w:r>
    </w:p>
    <w:p>
      <w:pPr>
        <w:spacing w:before="35" w:line="258" w:lineRule="exact"/>
        <w:ind w:left="4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position w:val="1"/>
          <w:sz w:val="19"/>
          <w:szCs w:val="19"/>
        </w:rPr>
        <w:t>4</w:t>
      </w:r>
      <w:r>
        <w:rPr>
          <w:rFonts w:ascii="宋体" w:hAnsi="宋体" w:eastAsia="宋体" w:cs="宋体"/>
          <w:spacing w:val="8"/>
          <w:position w:val="1"/>
          <w:sz w:val="19"/>
          <w:szCs w:val="19"/>
        </w:rPr>
        <w:t>．备注：说明预计到年底不能完成目标的原因及拟采取的措施。</w:t>
      </w:r>
    </w:p>
    <w:p>
      <w:pPr>
        <w:spacing w:before="11" w:line="231" w:lineRule="auto"/>
        <w:ind w:left="4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FF0000"/>
          <w:spacing w:val="8"/>
          <w:sz w:val="19"/>
          <w:szCs w:val="19"/>
        </w:rPr>
        <w:t>5. 注意：请确保绩效指标与财政一体化平台填报的一致</w:t>
      </w:r>
      <w:r>
        <w:rPr>
          <w:rFonts w:ascii="宋体" w:hAnsi="宋体" w:eastAsia="宋体" w:cs="宋体"/>
          <w:color w:val="FF0000"/>
          <w:spacing w:val="5"/>
          <w:sz w:val="19"/>
          <w:szCs w:val="19"/>
        </w:rPr>
        <w:t>。</w:t>
      </w:r>
    </w:p>
    <w:p/>
    <w:sectPr>
      <w:pgSz w:w="16837" w:h="11905"/>
      <w:pgMar w:top="400" w:right="296" w:bottom="400" w:left="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zExMzBkOWVmMTI3ZjE1MTg1Mzc3ZGJlNjk2MzEifQ=="/>
  </w:docVars>
  <w:rsids>
    <w:rsidRoot w:val="53762989"/>
    <w:rsid w:val="144B7A8D"/>
    <w:rsid w:val="1ECE699F"/>
    <w:rsid w:val="288B5901"/>
    <w:rsid w:val="38983E4E"/>
    <w:rsid w:val="39223A11"/>
    <w:rsid w:val="3B124611"/>
    <w:rsid w:val="4413082D"/>
    <w:rsid w:val="49311755"/>
    <w:rsid w:val="4D4B1038"/>
    <w:rsid w:val="53762989"/>
    <w:rsid w:val="559F5CBF"/>
    <w:rsid w:val="6634349E"/>
    <w:rsid w:val="675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803</Characters>
  <Lines>0</Lines>
  <Paragraphs>0</Paragraphs>
  <TotalTime>5</TotalTime>
  <ScaleCrop>false</ScaleCrop>
  <LinksUpToDate>false</LinksUpToDate>
  <CharactersWithSpaces>822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2023-03-21T01:46:00Z</dcterms:created>
  <dc:creator>曙光暮色</dc:creator>
  <cp:lastModifiedBy>曙光暮色</cp:lastModifiedBy>
  <cp:lastPrinted>2023-03-22T01:06:15Z</cp:lastPrinted>
  <dcterms:modified xsi:type="dcterms:W3CDTF">2023-03-22T01:11:05Z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B6B674E35D284D21AAC3747B6596E18D</vt:lpwstr>
  </property>
</Properties>
</file>