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0"/>
          <w:szCs w:val="40"/>
        </w:rPr>
      </w:pPr>
      <w:r>
        <w:rPr>
          <w:rFonts w:hint="eastAsia" w:ascii="宋体" w:hAnsi="宋体" w:eastAsia="宋体" w:cs="宋体"/>
          <w:b/>
          <w:bCs/>
          <w:sz w:val="40"/>
          <w:szCs w:val="40"/>
        </w:rPr>
        <w:t>部门整体支出绩效评价报告</w:t>
      </w:r>
    </w:p>
    <w:p>
      <w:pPr>
        <w:keepNext w:val="0"/>
        <w:keepLines w:val="0"/>
        <w:pageBreakBefore w:val="0"/>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宋体" w:hAnsi="宋体" w:eastAsia="宋体" w:cs="宋体"/>
          <w:sz w:val="28"/>
          <w:szCs w:val="28"/>
        </w:rPr>
      </w:pPr>
    </w:p>
    <w:p>
      <w:pPr>
        <w:pStyle w:val="5"/>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部门、单位基本情况</w:t>
      </w:r>
    </w:p>
    <w:p>
      <w:pPr>
        <w:widowControl/>
        <w:spacing w:after="204" w:line="462" w:lineRule="atLeast"/>
        <w:ind w:firstLine="480"/>
        <w:rPr>
          <w:rFonts w:asciiTheme="minorEastAsia" w:hAnsiTheme="minorEastAsia"/>
          <w:bCs/>
          <w:kern w:val="0"/>
          <w:sz w:val="32"/>
          <w:szCs w:val="32"/>
        </w:rPr>
      </w:pPr>
      <w:r>
        <w:rPr>
          <w:rFonts w:hint="eastAsia" w:ascii="仿宋" w:hAnsi="仿宋" w:eastAsia="仿宋" w:cs="仿宋"/>
          <w:sz w:val="30"/>
          <w:szCs w:val="30"/>
        </w:rPr>
        <w:t>（一）</w:t>
      </w:r>
      <w:r>
        <w:rPr>
          <w:rFonts w:hint="eastAsia" w:ascii="仿宋" w:hAnsi="仿宋" w:eastAsia="仿宋" w:cs="仿宋"/>
          <w:b/>
          <w:bCs/>
          <w:color w:val="000000"/>
          <w:sz w:val="30"/>
          <w:szCs w:val="30"/>
          <w:lang w:eastAsia="zh-CN"/>
        </w:rPr>
        <w:t>部门</w:t>
      </w:r>
      <w:r>
        <w:rPr>
          <w:rFonts w:hint="eastAsia" w:ascii="仿宋" w:hAnsi="仿宋" w:eastAsia="仿宋" w:cs="仿宋"/>
          <w:b/>
          <w:bCs/>
          <w:color w:val="000000"/>
          <w:sz w:val="30"/>
          <w:szCs w:val="30"/>
        </w:rPr>
        <w:t>机构设置：</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1、办公室（行政审批服务股）。负责机关日常运作，负责党建、人事、财务、工会工作。承担机关文电、会务、档案、保密、信访、政务公开、新闻宣传等工作。</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 xml:space="preserve">2、综合业务股。承担县内各级科技计划、项目、人才和平台等服务工作。负责高新技术培育、成果转化、科技普及、产学研合作、全社会研发经费投入等科技统计、管理和服务工作。 </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Cs/>
          <w:kern w:val="0"/>
          <w:sz w:val="30"/>
          <w:szCs w:val="30"/>
          <w:lang w:val="en-US" w:eastAsia="zh-CN"/>
        </w:rPr>
      </w:pPr>
      <w:r>
        <w:rPr>
          <w:rFonts w:hint="eastAsia" w:ascii="仿宋" w:hAnsi="仿宋" w:eastAsia="仿宋" w:cs="仿宋"/>
          <w:bCs/>
          <w:kern w:val="0"/>
          <w:sz w:val="30"/>
          <w:szCs w:val="30"/>
          <w:lang w:val="en-US" w:eastAsia="zh-CN"/>
        </w:rPr>
        <w:t>下设二级事业单位1个：辰溪县科技信息研究所</w:t>
      </w:r>
    </w:p>
    <w:p>
      <w:pPr>
        <w:pStyle w:val="5"/>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部门职责</w:t>
      </w:r>
      <w:r>
        <w:rPr>
          <w:rFonts w:hint="eastAsia" w:ascii="仿宋" w:hAnsi="仿宋" w:eastAsia="仿宋" w:cs="仿宋"/>
          <w:b/>
          <w:bCs/>
          <w:sz w:val="30"/>
          <w:szCs w:val="3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i w:val="0"/>
          <w:iCs w:val="0"/>
          <w:caps w:val="0"/>
          <w:color w:val="3D3D3D"/>
          <w:spacing w:val="0"/>
          <w:kern w:val="0"/>
          <w:sz w:val="30"/>
          <w:szCs w:val="30"/>
          <w:shd w:val="clear" w:fill="FFFFFF"/>
          <w:lang w:val="en-US" w:eastAsia="zh-CN" w:bidi="ar"/>
        </w:rPr>
        <w:t>1、</w:t>
      </w:r>
      <w:r>
        <w:rPr>
          <w:rFonts w:hint="eastAsia" w:ascii="仿宋" w:hAnsi="仿宋" w:eastAsia="仿宋" w:cs="仿宋"/>
          <w:bCs/>
          <w:kern w:val="0"/>
          <w:sz w:val="30"/>
          <w:szCs w:val="30"/>
          <w:lang w:val="en-US" w:eastAsia="zh-CN" w:bidi="ar-SA"/>
        </w:rPr>
        <w:t>贯彻创新驱动发展战略和创新引领开放崛起战略，拟订全县科技发展、引进国外及国内智力规划和政策并组织实施；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2、统筹推进全县创新体系建设和科技体制改革，会同有关部门健全技术创新激励机制。优化科研体系建设，指导科研机构改革发展，推动企业科技创新能力建设，承担推进科技军民融合发展相关工作，推进全县重大科技决策咨询制度建设。拟订科学普及和科学传播规划、政策。统筹推进创新型城市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3、牵头建立统一的县级科技管理平台和科研项目资金协调、评估、监督机制。会同有关部门提出优化配置科技资源的政策措施建议，推动多元化科技投入体系建设，协调管理县级科技财政计划（专项、基金等）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4、拟订全县基础研究规划、政策和标准并组织实施，组织协调县级重大基础研究和应用基础研究。拟订重大科技创新基地建设规划并监督实施，参与编制重大科技基础设施建设规划和监督实施，牵头组织县重点实验室等重大科技创新基地建设，推动科研条件保障建设和科技资源开放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5、编制县级重大科技项目计划并监督实施，统筹关键共性技术、前沿引领技术、现代工程技术、颠覆性技术研究和创新，牵头组织重大技术攻关和成果应用示范。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6、组织拟订高新技术发展及产业化、科技促进农业农村和社会发展的规划、政策和措施。组织开展重点领域技术发展需求分析，提出重大任务并监督实施。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7、牵头县级技术转移体系建设，拟订科技成果转移转化和促进产学研结合的相关政策措施并监督实施、指导科技服务业、技术市场、科技金融结合和科技中介组织发展。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8、统筹区域科技创新体系建设，指导区域创新发展、科技资源合理布局和协调创新能力建设，推动科技园区建设。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9、负责科学监督评价体系建设和相关科技评优管理，指导科技评价机制改革，统筹科研诚信建设。组织实施全县创新调查和科技报告制度，指导全县科技保密工作。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10、拟订科技对外交往与创新能力开放合作的规划、政策和措施，组织开展国际和区域科技合作与科技人才交流。指导相关部门对外科技合作与科技人才交流工作。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11、负责引进国外和国内智力工作。拟订全县重点引进国外专家总体规划、计划并组织实施，建立国外和国内顶尖科学家、团队吸引集聚机制和重点国内外专家联系服务机制。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12、会同有关部门拟订科技人才队伍建设规划和政策，建立健全科技人才评价和激励机制，组织实施科技人才计划，推动高端科技创新人才队伍建设。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10" w:lineRule="atLeast"/>
        <w:ind w:left="0" w:right="0" w:firstLine="420"/>
        <w:jc w:val="both"/>
        <w:rPr>
          <w:rFonts w:hint="eastAsia" w:ascii="仿宋" w:hAnsi="仿宋" w:eastAsia="仿宋" w:cs="仿宋"/>
          <w:bCs/>
          <w:kern w:val="0"/>
          <w:sz w:val="30"/>
          <w:szCs w:val="30"/>
          <w:lang w:val="en-US" w:eastAsia="zh-CN" w:bidi="ar-SA"/>
        </w:rPr>
      </w:pPr>
      <w:r>
        <w:rPr>
          <w:rFonts w:hint="eastAsia" w:ascii="仿宋" w:hAnsi="仿宋" w:eastAsia="仿宋" w:cs="仿宋"/>
          <w:bCs/>
          <w:kern w:val="0"/>
          <w:sz w:val="30"/>
          <w:szCs w:val="30"/>
          <w:lang w:val="en-US" w:eastAsia="zh-CN" w:bidi="ar-SA"/>
        </w:rPr>
        <w:t>13、完成县委、县政府交办的其他任务。</w:t>
      </w:r>
    </w:p>
    <w:p>
      <w:pPr>
        <w:pStyle w:val="5"/>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一般公共预算支出情况</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b/>
          <w:bCs/>
          <w:sz w:val="30"/>
          <w:szCs w:val="30"/>
        </w:rPr>
        <w:t>一）基本支出情况</w:t>
      </w:r>
    </w:p>
    <w:p>
      <w:pPr>
        <w:pStyle w:val="5"/>
        <w:keepNext w:val="0"/>
        <w:keepLines w:val="0"/>
        <w:pageBreakBefore w:val="0"/>
        <w:widowControl/>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202</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年度财政拨款基本支出</w:t>
      </w:r>
      <w:r>
        <w:rPr>
          <w:rFonts w:hint="eastAsia" w:ascii="仿宋" w:hAnsi="仿宋" w:eastAsia="仿宋" w:cs="仿宋"/>
          <w:b w:val="0"/>
          <w:bCs w:val="0"/>
          <w:sz w:val="30"/>
          <w:szCs w:val="30"/>
          <w:lang w:val="en-US" w:eastAsia="zh-CN"/>
        </w:rPr>
        <w:t>202.44</w:t>
      </w:r>
      <w:r>
        <w:rPr>
          <w:rFonts w:hint="eastAsia" w:ascii="仿宋" w:hAnsi="仿宋" w:eastAsia="仿宋" w:cs="仿宋"/>
          <w:b w:val="0"/>
          <w:bCs w:val="0"/>
          <w:sz w:val="30"/>
          <w:szCs w:val="30"/>
        </w:rPr>
        <w:t>万元，其中：人员经费146.</w:t>
      </w:r>
      <w:r>
        <w:rPr>
          <w:rFonts w:hint="eastAsia" w:ascii="仿宋" w:hAnsi="仿宋" w:eastAsia="仿宋" w:cs="仿宋"/>
          <w:b w:val="0"/>
          <w:bCs w:val="0"/>
          <w:sz w:val="30"/>
          <w:szCs w:val="30"/>
          <w:lang w:val="en-US" w:eastAsia="zh-CN"/>
        </w:rPr>
        <w:t>82</w:t>
      </w:r>
      <w:r>
        <w:rPr>
          <w:rFonts w:hint="eastAsia" w:ascii="仿宋" w:hAnsi="仿宋" w:eastAsia="仿宋" w:cs="仿宋"/>
          <w:b w:val="0"/>
          <w:bCs w:val="0"/>
          <w:sz w:val="30"/>
          <w:szCs w:val="30"/>
        </w:rPr>
        <w:t>万元，占基本支出的</w:t>
      </w:r>
      <w:r>
        <w:rPr>
          <w:rFonts w:hint="eastAsia" w:ascii="仿宋" w:hAnsi="仿宋" w:eastAsia="仿宋" w:cs="仿宋"/>
          <w:b w:val="0"/>
          <w:bCs w:val="0"/>
          <w:sz w:val="30"/>
          <w:szCs w:val="30"/>
          <w:lang w:val="en-US" w:eastAsia="zh-CN"/>
        </w:rPr>
        <w:t>72.54</w:t>
      </w:r>
      <w:r>
        <w:rPr>
          <w:rFonts w:hint="eastAsia" w:ascii="仿宋" w:hAnsi="仿宋" w:eastAsia="仿宋" w:cs="仿宋"/>
          <w:b w:val="0"/>
          <w:bCs w:val="0"/>
          <w:sz w:val="30"/>
          <w:szCs w:val="30"/>
        </w:rPr>
        <w:t>%,主要包括基本工资、津贴补贴、奖金、伙食补助费、绩效工资、机关事业单位基本养老保险缴费、其他社会保障缴费、住房公积金、其他工资福利支出；公用经费</w:t>
      </w:r>
      <w:r>
        <w:rPr>
          <w:rFonts w:hint="eastAsia" w:ascii="仿宋" w:hAnsi="仿宋" w:eastAsia="仿宋" w:cs="仿宋"/>
          <w:b w:val="0"/>
          <w:bCs w:val="0"/>
          <w:sz w:val="30"/>
          <w:szCs w:val="30"/>
          <w:lang w:val="en-US" w:eastAsia="zh-CN"/>
        </w:rPr>
        <w:t>55.62</w:t>
      </w:r>
      <w:r>
        <w:rPr>
          <w:rFonts w:hint="eastAsia" w:ascii="仿宋" w:hAnsi="仿宋" w:eastAsia="仿宋" w:cs="仿宋"/>
          <w:b w:val="0"/>
          <w:bCs w:val="0"/>
          <w:sz w:val="30"/>
          <w:szCs w:val="30"/>
        </w:rPr>
        <w:t>万元，占基本支出的</w:t>
      </w:r>
      <w:r>
        <w:rPr>
          <w:rFonts w:hint="eastAsia" w:ascii="仿宋" w:hAnsi="仿宋" w:eastAsia="仿宋" w:cs="仿宋"/>
          <w:b w:val="0"/>
          <w:bCs w:val="0"/>
          <w:sz w:val="30"/>
          <w:szCs w:val="30"/>
          <w:lang w:val="en-US" w:eastAsia="zh-CN"/>
        </w:rPr>
        <w:t>27.46</w:t>
      </w:r>
      <w:r>
        <w:rPr>
          <w:rFonts w:hint="eastAsia" w:ascii="仿宋" w:hAnsi="仿宋" w:eastAsia="仿宋" w:cs="仿宋"/>
          <w:b w:val="0"/>
          <w:bCs w:val="0"/>
          <w:sz w:val="30"/>
          <w:szCs w:val="30"/>
        </w:rPr>
        <w:t>%，主要包括办公费、印刷费、水费、电费、邮电费、物业管理费、差旅费、培训费、公务接待费、劳务费、委托业务费、工会经费、福利费、其他交通费用、其他商品和服务支出。</w:t>
      </w:r>
    </w:p>
    <w:p>
      <w:pPr>
        <w:pStyle w:val="5"/>
        <w:keepNext w:val="0"/>
        <w:keepLines w:val="0"/>
        <w:pageBreakBefore w:val="0"/>
        <w:widowControl/>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rPr>
        <w:t>（二）项目支出情况</w:t>
      </w:r>
    </w:p>
    <w:p>
      <w:pPr>
        <w:widowControl/>
        <w:shd w:val="clear" w:color="auto" w:fill="FFFFFF"/>
        <w:spacing w:after="225" w:line="480" w:lineRule="atLeast"/>
        <w:ind w:firstLine="640" w:firstLineChars="200"/>
        <w:jc w:val="left"/>
        <w:rPr>
          <w:rFonts w:hint="eastAsia" w:ascii="仿宋" w:hAnsi="仿宋" w:eastAsia="仿宋" w:cs="仿宋"/>
          <w:color w:val="3D3D3D"/>
          <w:sz w:val="32"/>
          <w:szCs w:val="32"/>
        </w:rPr>
      </w:pPr>
      <w:r>
        <w:rPr>
          <w:rFonts w:hint="eastAsia" w:ascii="仿宋" w:hAnsi="仿宋" w:eastAsia="仿宋" w:cs="仿宋"/>
          <w:color w:val="3D3D3D"/>
          <w:kern w:val="0"/>
          <w:sz w:val="32"/>
          <w:szCs w:val="32"/>
          <w:shd w:val="clear" w:color="auto" w:fill="FFFFFF"/>
        </w:rPr>
        <w:t>202</w:t>
      </w:r>
      <w:r>
        <w:rPr>
          <w:rFonts w:hint="eastAsia" w:ascii="仿宋" w:hAnsi="仿宋" w:eastAsia="仿宋" w:cs="仿宋"/>
          <w:color w:val="3D3D3D"/>
          <w:kern w:val="0"/>
          <w:sz w:val="32"/>
          <w:szCs w:val="32"/>
          <w:shd w:val="clear" w:color="auto" w:fill="FFFFFF"/>
          <w:lang w:val="en-US" w:eastAsia="zh-CN"/>
        </w:rPr>
        <w:t>1</w:t>
      </w:r>
      <w:r>
        <w:rPr>
          <w:rFonts w:hint="eastAsia" w:ascii="仿宋" w:hAnsi="仿宋" w:eastAsia="仿宋" w:cs="仿宋"/>
          <w:color w:val="3D3D3D"/>
          <w:kern w:val="0"/>
          <w:sz w:val="32"/>
          <w:szCs w:val="32"/>
          <w:shd w:val="clear" w:color="auto" w:fill="FFFFFF"/>
        </w:rPr>
        <w:t>年县科技局专项资金预算下达总计</w:t>
      </w:r>
      <w:r>
        <w:rPr>
          <w:rFonts w:hint="eastAsia" w:ascii="仿宋" w:hAnsi="仿宋" w:eastAsia="仿宋" w:cs="仿宋"/>
          <w:color w:val="3D3D3D"/>
          <w:kern w:val="0"/>
          <w:sz w:val="32"/>
          <w:szCs w:val="32"/>
          <w:shd w:val="clear" w:color="auto" w:fill="FFFFFF"/>
          <w:lang w:val="en-US" w:eastAsia="zh-CN"/>
        </w:rPr>
        <w:t>105</w:t>
      </w:r>
      <w:r>
        <w:rPr>
          <w:rFonts w:hint="eastAsia" w:ascii="仿宋" w:hAnsi="仿宋" w:eastAsia="仿宋" w:cs="仿宋"/>
          <w:color w:val="3D3D3D"/>
          <w:kern w:val="0"/>
          <w:sz w:val="32"/>
          <w:szCs w:val="32"/>
          <w:shd w:val="clear" w:color="auto" w:fill="FFFFFF"/>
        </w:rPr>
        <w:t>万元，其中：</w:t>
      </w:r>
      <w:r>
        <w:rPr>
          <w:rFonts w:hint="eastAsia" w:ascii="仿宋" w:hAnsi="仿宋" w:eastAsia="仿宋" w:cs="仿宋"/>
          <w:color w:val="3D3D3D"/>
          <w:kern w:val="0"/>
          <w:sz w:val="32"/>
          <w:szCs w:val="32"/>
          <w:shd w:val="clear" w:color="auto" w:fill="FFFFFF"/>
          <w:lang w:eastAsia="zh-CN"/>
        </w:rPr>
        <w:t>高新技术培育</w:t>
      </w:r>
      <w:r>
        <w:rPr>
          <w:rFonts w:hint="eastAsia" w:ascii="仿宋" w:hAnsi="仿宋" w:eastAsia="仿宋" w:cs="仿宋"/>
          <w:color w:val="3D3D3D"/>
          <w:kern w:val="0"/>
          <w:sz w:val="32"/>
          <w:szCs w:val="32"/>
          <w:shd w:val="clear" w:color="auto" w:fill="FFFFFF"/>
          <w:lang w:val="en-US" w:eastAsia="zh-CN"/>
        </w:rPr>
        <w:t>25万元，</w:t>
      </w:r>
      <w:r>
        <w:rPr>
          <w:rFonts w:hint="eastAsia" w:ascii="仿宋" w:hAnsi="仿宋" w:eastAsia="仿宋" w:cs="仿宋"/>
          <w:color w:val="3D3D3D"/>
          <w:kern w:val="0"/>
          <w:sz w:val="32"/>
          <w:szCs w:val="32"/>
          <w:shd w:val="clear" w:color="auto" w:fill="FFFFFF"/>
        </w:rPr>
        <w:t xml:space="preserve">科技三项费 </w:t>
      </w:r>
      <w:r>
        <w:rPr>
          <w:rFonts w:hint="eastAsia" w:ascii="仿宋" w:hAnsi="仿宋" w:eastAsia="仿宋" w:cs="仿宋"/>
          <w:color w:val="3D3D3D"/>
          <w:kern w:val="0"/>
          <w:sz w:val="32"/>
          <w:szCs w:val="32"/>
          <w:shd w:val="clear" w:color="auto" w:fill="FFFFFF"/>
          <w:lang w:val="en-US" w:eastAsia="zh-CN"/>
        </w:rPr>
        <w:t>80</w:t>
      </w:r>
      <w:r>
        <w:rPr>
          <w:rFonts w:hint="eastAsia" w:ascii="仿宋" w:hAnsi="仿宋" w:eastAsia="仿宋" w:cs="仿宋"/>
          <w:color w:val="3D3D3D"/>
          <w:kern w:val="0"/>
          <w:sz w:val="32"/>
          <w:szCs w:val="32"/>
          <w:shd w:val="clear" w:color="auto" w:fill="FFFFFF"/>
        </w:rPr>
        <w:t>万元。</w:t>
      </w:r>
    </w:p>
    <w:p>
      <w:pPr>
        <w:widowControl/>
        <w:shd w:val="clear" w:color="auto" w:fill="FFFFFF"/>
        <w:spacing w:after="225" w:line="480" w:lineRule="atLeast"/>
        <w:ind w:firstLine="480"/>
        <w:jc w:val="left"/>
        <w:rPr>
          <w:rFonts w:hint="eastAsia" w:ascii="仿宋" w:hAnsi="仿宋" w:eastAsia="仿宋" w:cs="仿宋"/>
          <w:color w:val="3D3D3D"/>
          <w:kern w:val="0"/>
          <w:sz w:val="32"/>
          <w:szCs w:val="32"/>
          <w:shd w:val="clear" w:color="auto" w:fill="FFFFFF"/>
          <w:lang w:eastAsia="zh-CN"/>
        </w:rPr>
      </w:pPr>
      <w:r>
        <w:rPr>
          <w:rFonts w:hint="eastAsia" w:ascii="仿宋" w:hAnsi="仿宋" w:eastAsia="仿宋" w:cs="仿宋"/>
          <w:color w:val="3D3D3D"/>
          <w:kern w:val="0"/>
          <w:sz w:val="32"/>
          <w:szCs w:val="32"/>
          <w:shd w:val="clear" w:color="auto" w:fill="FFFFFF"/>
        </w:rPr>
        <w:t>202</w:t>
      </w:r>
      <w:r>
        <w:rPr>
          <w:rFonts w:hint="eastAsia" w:ascii="仿宋" w:hAnsi="仿宋" w:eastAsia="仿宋" w:cs="仿宋"/>
          <w:color w:val="3D3D3D"/>
          <w:kern w:val="0"/>
          <w:sz w:val="32"/>
          <w:szCs w:val="32"/>
          <w:shd w:val="clear" w:color="auto" w:fill="FFFFFF"/>
          <w:lang w:val="en-US" w:eastAsia="zh-CN"/>
        </w:rPr>
        <w:t>1</w:t>
      </w:r>
      <w:r>
        <w:rPr>
          <w:rFonts w:hint="eastAsia" w:ascii="仿宋" w:hAnsi="仿宋" w:eastAsia="仿宋" w:cs="仿宋"/>
          <w:color w:val="3D3D3D"/>
          <w:kern w:val="0"/>
          <w:sz w:val="32"/>
          <w:szCs w:val="32"/>
          <w:shd w:val="clear" w:color="auto" w:fill="FFFFFF"/>
        </w:rPr>
        <w:t>年县科技局项目支出总计</w:t>
      </w:r>
      <w:r>
        <w:rPr>
          <w:rFonts w:hint="eastAsia" w:ascii="仿宋" w:hAnsi="仿宋" w:eastAsia="仿宋" w:cs="仿宋"/>
          <w:color w:val="3D3D3D"/>
          <w:kern w:val="0"/>
          <w:sz w:val="32"/>
          <w:szCs w:val="32"/>
          <w:shd w:val="clear" w:color="auto" w:fill="FFFFFF"/>
          <w:lang w:val="en-US" w:eastAsia="zh-CN"/>
        </w:rPr>
        <w:t>77.88</w:t>
      </w:r>
      <w:r>
        <w:rPr>
          <w:rFonts w:hint="eastAsia" w:ascii="仿宋" w:hAnsi="仿宋" w:eastAsia="仿宋" w:cs="仿宋"/>
          <w:color w:val="3D3D3D"/>
          <w:kern w:val="0"/>
          <w:sz w:val="32"/>
          <w:szCs w:val="32"/>
          <w:shd w:val="clear" w:color="auto" w:fill="FFFFFF"/>
        </w:rPr>
        <w:t>万元</w:t>
      </w:r>
      <w:r>
        <w:rPr>
          <w:rFonts w:hint="eastAsia" w:ascii="仿宋" w:hAnsi="仿宋" w:eastAsia="仿宋" w:cs="仿宋"/>
          <w:color w:val="3D3D3D"/>
          <w:kern w:val="0"/>
          <w:sz w:val="32"/>
          <w:szCs w:val="32"/>
          <w:shd w:val="clear" w:color="auto" w:fill="FFFFFF"/>
          <w:lang w:eastAsia="zh-CN"/>
        </w:rPr>
        <w:t>。</w:t>
      </w:r>
    </w:p>
    <w:p>
      <w:pPr>
        <w:widowControl/>
        <w:shd w:val="clear" w:color="auto" w:fill="FFFFFF"/>
        <w:spacing w:after="225" w:line="480" w:lineRule="atLeast"/>
        <w:ind w:firstLine="480"/>
        <w:jc w:val="left"/>
        <w:rPr>
          <w:rFonts w:hint="eastAsia" w:ascii="仿宋" w:hAnsi="仿宋" w:eastAsia="仿宋" w:cs="仿宋"/>
          <w:b/>
          <w:bCs/>
          <w:color w:val="3D3D3D"/>
          <w:kern w:val="0"/>
          <w:sz w:val="32"/>
          <w:szCs w:val="32"/>
          <w:shd w:val="clear" w:color="auto" w:fill="FFFFFF"/>
        </w:rPr>
      </w:pPr>
      <w:r>
        <w:rPr>
          <w:rFonts w:hint="eastAsia" w:ascii="仿宋" w:hAnsi="仿宋" w:eastAsia="仿宋" w:cs="仿宋"/>
          <w:b/>
          <w:bCs/>
          <w:color w:val="3D3D3D"/>
          <w:kern w:val="0"/>
          <w:sz w:val="32"/>
          <w:szCs w:val="32"/>
          <w:shd w:val="clear" w:color="auto" w:fill="FFFFFF"/>
        </w:rPr>
        <w:t>三、政府性基金预算支出情况</w:t>
      </w:r>
    </w:p>
    <w:p>
      <w:pPr>
        <w:widowControl/>
        <w:shd w:val="clear" w:color="auto" w:fill="FFFFFF"/>
        <w:spacing w:after="225" w:line="480" w:lineRule="atLeast"/>
        <w:ind w:firstLine="480"/>
        <w:jc w:val="left"/>
        <w:rPr>
          <w:rFonts w:hint="eastAsia" w:ascii="仿宋" w:hAnsi="仿宋" w:eastAsia="仿宋" w:cs="仿宋"/>
          <w:color w:val="3D3D3D"/>
          <w:kern w:val="0"/>
          <w:sz w:val="32"/>
          <w:szCs w:val="32"/>
          <w:shd w:val="clear" w:color="auto" w:fill="FFFFFF"/>
        </w:rPr>
      </w:pPr>
      <w:r>
        <w:rPr>
          <w:rFonts w:hint="eastAsia" w:ascii="仿宋" w:hAnsi="仿宋" w:eastAsia="仿宋" w:cs="仿宋"/>
          <w:color w:val="3D3D3D"/>
          <w:kern w:val="0"/>
          <w:sz w:val="32"/>
          <w:szCs w:val="32"/>
          <w:shd w:val="clear" w:color="auto" w:fill="FFFFFF"/>
        </w:rPr>
        <w:t>202</w:t>
      </w:r>
      <w:r>
        <w:rPr>
          <w:rFonts w:hint="eastAsia" w:ascii="仿宋" w:hAnsi="仿宋" w:eastAsia="仿宋" w:cs="仿宋"/>
          <w:color w:val="3D3D3D"/>
          <w:kern w:val="0"/>
          <w:sz w:val="32"/>
          <w:szCs w:val="32"/>
          <w:shd w:val="clear" w:color="auto" w:fill="FFFFFF"/>
          <w:lang w:val="en-US" w:eastAsia="zh-CN"/>
        </w:rPr>
        <w:t>1</w:t>
      </w:r>
      <w:r>
        <w:rPr>
          <w:rFonts w:hint="eastAsia" w:ascii="仿宋" w:hAnsi="仿宋" w:eastAsia="仿宋" w:cs="仿宋"/>
          <w:color w:val="3D3D3D"/>
          <w:kern w:val="0"/>
          <w:sz w:val="32"/>
          <w:szCs w:val="32"/>
          <w:shd w:val="clear" w:color="auto" w:fill="FFFFFF"/>
        </w:rPr>
        <w:t>年度政府性基金预算财政拨款收入</w:t>
      </w:r>
      <w:r>
        <w:rPr>
          <w:rFonts w:hint="eastAsia" w:ascii="仿宋" w:hAnsi="仿宋" w:eastAsia="仿宋" w:cs="仿宋"/>
          <w:color w:val="3D3D3D"/>
          <w:kern w:val="0"/>
          <w:sz w:val="32"/>
          <w:szCs w:val="32"/>
          <w:shd w:val="clear" w:color="auto" w:fill="FFFFFF"/>
          <w:lang w:val="en-US" w:eastAsia="zh-CN"/>
        </w:rPr>
        <w:t>0</w:t>
      </w:r>
      <w:r>
        <w:rPr>
          <w:rFonts w:hint="eastAsia" w:ascii="仿宋" w:hAnsi="仿宋" w:eastAsia="仿宋" w:cs="仿宋"/>
          <w:color w:val="3D3D3D"/>
          <w:kern w:val="0"/>
          <w:sz w:val="32"/>
          <w:szCs w:val="32"/>
          <w:shd w:val="clear" w:color="auto" w:fill="FFFFFF"/>
        </w:rPr>
        <w:t>万元；年初结转和结余0  万元；支出</w:t>
      </w:r>
      <w:r>
        <w:rPr>
          <w:rFonts w:hint="eastAsia" w:ascii="仿宋" w:hAnsi="仿宋" w:eastAsia="仿宋" w:cs="仿宋"/>
          <w:color w:val="3D3D3D"/>
          <w:kern w:val="0"/>
          <w:sz w:val="32"/>
          <w:szCs w:val="32"/>
          <w:shd w:val="clear" w:color="auto" w:fill="FFFFFF"/>
          <w:lang w:val="en-US" w:eastAsia="zh-CN"/>
        </w:rPr>
        <w:t>0</w:t>
      </w:r>
      <w:r>
        <w:rPr>
          <w:rFonts w:hint="eastAsia" w:ascii="仿宋" w:hAnsi="仿宋" w:eastAsia="仿宋" w:cs="仿宋"/>
          <w:color w:val="3D3D3D"/>
          <w:kern w:val="0"/>
          <w:sz w:val="32"/>
          <w:szCs w:val="32"/>
          <w:shd w:val="clear" w:color="auto" w:fill="FFFFFF"/>
        </w:rPr>
        <w:t>万元，其中基本支出</w:t>
      </w:r>
      <w:r>
        <w:rPr>
          <w:rFonts w:hint="eastAsia" w:ascii="仿宋" w:hAnsi="仿宋" w:eastAsia="仿宋" w:cs="仿宋"/>
          <w:color w:val="3D3D3D"/>
          <w:kern w:val="0"/>
          <w:sz w:val="32"/>
          <w:szCs w:val="32"/>
          <w:shd w:val="clear" w:color="auto" w:fill="FFFFFF"/>
          <w:lang w:val="en-US" w:eastAsia="zh-CN"/>
        </w:rPr>
        <w:t>0</w:t>
      </w:r>
      <w:r>
        <w:rPr>
          <w:rFonts w:hint="eastAsia" w:ascii="仿宋" w:hAnsi="仿宋" w:eastAsia="仿宋" w:cs="仿宋"/>
          <w:color w:val="3D3D3D"/>
          <w:kern w:val="0"/>
          <w:sz w:val="32"/>
          <w:szCs w:val="32"/>
          <w:shd w:val="clear" w:color="auto" w:fill="FFFFFF"/>
        </w:rPr>
        <w:t>万元，项目支出0万元；年末结转和结余0万元。</w:t>
      </w:r>
    </w:p>
    <w:p>
      <w:pPr>
        <w:pStyle w:val="5"/>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firstLine="301" w:firstLineChars="1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部门整体支出绩效情况</w:t>
      </w:r>
    </w:p>
    <w:p>
      <w:pPr>
        <w:pStyle w:val="6"/>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我单位按照绩效评价的相关制度规定，认真制定绩效自评方案，根据评价指标体系测算，本单位整体支出总绩效得分为</w:t>
      </w:r>
      <w:r>
        <w:rPr>
          <w:rFonts w:hint="eastAsia" w:ascii="仿宋" w:hAnsi="仿宋" w:eastAsia="仿宋" w:cs="仿宋"/>
          <w:b w:val="0"/>
          <w:bCs w:val="0"/>
          <w:color w:val="auto"/>
          <w:sz w:val="30"/>
          <w:szCs w:val="30"/>
          <w:lang w:val="en-US" w:eastAsia="zh-CN"/>
        </w:rPr>
        <w:t>89</w:t>
      </w:r>
      <w:r>
        <w:rPr>
          <w:rFonts w:hint="eastAsia" w:ascii="仿宋" w:hAnsi="仿宋" w:eastAsia="仿宋" w:cs="仿宋"/>
          <w:color w:val="000000"/>
          <w:sz w:val="30"/>
          <w:szCs w:val="30"/>
        </w:rPr>
        <w:t>分。评价结果等次为“</w:t>
      </w:r>
      <w:r>
        <w:rPr>
          <w:rFonts w:hint="eastAsia" w:ascii="仿宋" w:hAnsi="仿宋" w:eastAsia="仿宋" w:cs="仿宋"/>
          <w:color w:val="000000"/>
          <w:sz w:val="30"/>
          <w:szCs w:val="30"/>
          <w:lang w:eastAsia="zh-CN"/>
        </w:rPr>
        <w:t>良</w:t>
      </w:r>
      <w:r>
        <w:rPr>
          <w:rFonts w:hint="eastAsia" w:ascii="仿宋" w:hAnsi="仿宋" w:eastAsia="仿宋" w:cs="仿宋"/>
          <w:color w:val="000000"/>
          <w:sz w:val="30"/>
          <w:szCs w:val="30"/>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bCs/>
          <w:kern w:val="2"/>
          <w:sz w:val="30"/>
          <w:szCs w:val="30"/>
          <w:lang w:val="en-US" w:eastAsia="zh-CN" w:bidi="ar-SA"/>
        </w:rPr>
        <w:t>、目标设定、预算配制情况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1、</w:t>
      </w:r>
      <w:r>
        <w:rPr>
          <w:rFonts w:hint="eastAsia" w:ascii="仿宋" w:hAnsi="仿宋" w:eastAsia="仿宋" w:cs="仿宋"/>
          <w:b w:val="0"/>
          <w:bCs w:val="0"/>
          <w:i w:val="0"/>
          <w:iCs w:val="0"/>
          <w:color w:val="000000"/>
          <w:kern w:val="0"/>
          <w:sz w:val="30"/>
          <w:szCs w:val="30"/>
          <w:lang w:val="en-US" w:eastAsia="zh-CN" w:bidi="ar-SA"/>
        </w:rPr>
        <w:t>2021年支出绩效目标</w:t>
      </w:r>
      <w:r>
        <w:rPr>
          <w:rFonts w:hint="eastAsia" w:ascii="仿宋" w:hAnsi="仿宋" w:eastAsia="仿宋" w:cs="仿宋"/>
          <w:color w:val="000000"/>
          <w:kern w:val="0"/>
          <w:sz w:val="30"/>
          <w:szCs w:val="30"/>
          <w:lang w:val="en-US" w:eastAsia="zh-CN" w:bidi="ar-SA"/>
        </w:rPr>
        <w:t>设定：1、加强习近平新时代中国特色社会主义思想和党的十九大精神学习，做政治上的明白人。以习近平新时代中国特色社会主义思想为指导，深入贯彻落实党的十九大精神，全力增强抓好机关党建工作和服务县域“双创”工作。争取在科技管理工作中有作为、在落实党建中有力量、在深化自身改革中求突破、在依法行政中贡献科技创新的优质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以项目的管理和服务为抓手，创新科技发展环境。在省市科技项目的申报上认真吃透项目政策和指南，积极对接上级各个业务部门，以申促建，做实县本级科技项目，坚持科技服务经济，坚持创新创业，按照公平公正公开的原则把项目落细落实落好；指导和协助生态产业园申报省级农业科技园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3、以平台建设为载体，扎实做好科技人才的服务工作。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根据科技特派员、“三区”科技人才、县内产学研和科技信息网络工作的实际，规范产学研活动的组织，争取大专院校、科研院所来辰溪设立科教基地，使各级各类科技人才发挥好他们的聪明才智，让我县经济发展真正得到科技创新的实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4、以加强机关内部管理为突破口，自觉接受方方面面的领导和监督。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b w:val="0"/>
          <w:bCs w:val="0"/>
          <w:i w:val="0"/>
          <w:iCs w:val="0"/>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在脱贫攻坚、文明创建、综治维稳、安全生产、行政执法、计划生育、小康综合绩效考核等各个方面都能尽职尽责。主动向县委、县人大、县政府、县政协和省市科技主管部门汇报工作。主动地接受各个方面的监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color w:val="000000"/>
          <w:kern w:val="0"/>
          <w:sz w:val="30"/>
          <w:szCs w:val="30"/>
          <w:lang w:val="en-US" w:eastAsia="zh-CN" w:bidi="ar-SA"/>
        </w:rPr>
        <w:t>2、2021年</w:t>
      </w:r>
      <w:r>
        <w:rPr>
          <w:rFonts w:hint="eastAsia" w:ascii="仿宋" w:hAnsi="仿宋" w:eastAsia="仿宋" w:cs="仿宋"/>
          <w:color w:val="000000"/>
          <w:kern w:val="0"/>
          <w:sz w:val="30"/>
          <w:szCs w:val="30"/>
        </w:rPr>
        <w:t>预算配制情况</w:t>
      </w: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21</w:t>
      </w:r>
      <w:r>
        <w:rPr>
          <w:rFonts w:hint="eastAsia" w:ascii="仿宋" w:hAnsi="仿宋" w:eastAsia="仿宋" w:cs="仿宋"/>
          <w:color w:val="000000"/>
          <w:sz w:val="30"/>
          <w:szCs w:val="30"/>
        </w:rPr>
        <w:t>年在职人员控制率和“三公经费”变动率都</w:t>
      </w:r>
      <w:r>
        <w:rPr>
          <w:rFonts w:hint="eastAsia" w:ascii="仿宋" w:hAnsi="仿宋" w:eastAsia="仿宋" w:cs="仿宋"/>
          <w:color w:val="000000"/>
          <w:sz w:val="30"/>
          <w:szCs w:val="30"/>
          <w:lang w:eastAsia="zh-CN"/>
        </w:rPr>
        <w:t>严格按规定执行。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bCs/>
          <w:kern w:val="2"/>
          <w:sz w:val="30"/>
          <w:szCs w:val="30"/>
          <w:lang w:val="en-US" w:eastAsia="zh-CN" w:bidi="ar-SA"/>
        </w:rPr>
        <w:t>（二）、部门预算执行过程</w:t>
      </w:r>
    </w:p>
    <w:p>
      <w:pPr>
        <w:pStyle w:val="6"/>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b w:val="0"/>
          <w:bCs w:val="0"/>
          <w:i w:val="0"/>
          <w:iCs w:val="0"/>
          <w:color w:val="000000"/>
          <w:kern w:val="0"/>
          <w:sz w:val="30"/>
          <w:szCs w:val="30"/>
          <w:lang w:val="en-US" w:eastAsia="zh-CN" w:bidi="ar-SA"/>
        </w:rPr>
      </w:pPr>
      <w:r>
        <w:rPr>
          <w:rFonts w:hint="eastAsia" w:ascii="仿宋" w:hAnsi="仿宋" w:eastAsia="仿宋" w:cs="仿宋"/>
          <w:color w:val="000000"/>
          <w:sz w:val="30"/>
          <w:szCs w:val="30"/>
          <w:lang w:val="en-US" w:eastAsia="zh-CN"/>
        </w:rPr>
        <w:t>1、</w:t>
      </w:r>
      <w:r>
        <w:rPr>
          <w:rFonts w:hint="eastAsia" w:ascii="仿宋" w:hAnsi="仿宋" w:eastAsia="仿宋" w:cs="仿宋"/>
          <w:color w:val="000000"/>
          <w:kern w:val="0"/>
          <w:sz w:val="30"/>
          <w:szCs w:val="30"/>
        </w:rPr>
        <w:t>预算执行</w:t>
      </w:r>
    </w:p>
    <w:p>
      <w:pPr>
        <w:pStyle w:val="6"/>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部门预算管理情况</w:t>
      </w:r>
    </w:p>
    <w:p>
      <w:pPr>
        <w:pStyle w:val="6"/>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本部门</w:t>
      </w:r>
      <w:r>
        <w:rPr>
          <w:rFonts w:hint="eastAsia" w:ascii="仿宋" w:hAnsi="仿宋" w:eastAsia="仿宋" w:cs="仿宋"/>
          <w:color w:val="000000"/>
          <w:sz w:val="30"/>
          <w:szCs w:val="30"/>
        </w:rPr>
        <w:t>管理制度健全性方面有</w:t>
      </w:r>
      <w:r>
        <w:rPr>
          <w:rFonts w:hint="eastAsia" w:ascii="仿宋" w:hAnsi="仿宋" w:eastAsia="仿宋" w:cs="仿宋"/>
          <w:color w:val="000000"/>
          <w:sz w:val="30"/>
          <w:szCs w:val="30"/>
          <w:lang w:eastAsia="zh-CN"/>
        </w:rPr>
        <w:t>财政部门管理制度、</w:t>
      </w:r>
      <w:r>
        <w:rPr>
          <w:rFonts w:hint="eastAsia" w:ascii="仿宋" w:hAnsi="仿宋" w:eastAsia="仿宋" w:cs="仿宋"/>
          <w:color w:val="000000"/>
          <w:sz w:val="30"/>
          <w:szCs w:val="30"/>
        </w:rPr>
        <w:t>单位财务管理制度等有关制度、</w:t>
      </w:r>
      <w:r>
        <w:rPr>
          <w:rFonts w:hint="eastAsia" w:ascii="仿宋" w:hAnsi="仿宋" w:eastAsia="仿宋" w:cs="仿宋"/>
          <w:color w:val="000000"/>
          <w:sz w:val="30"/>
          <w:szCs w:val="30"/>
          <w:lang w:eastAsia="zh-CN"/>
        </w:rPr>
        <w:t>相关</w:t>
      </w:r>
      <w:r>
        <w:rPr>
          <w:rFonts w:hint="eastAsia" w:ascii="仿宋" w:hAnsi="仿宋" w:eastAsia="仿宋" w:cs="仿宋"/>
          <w:color w:val="000000"/>
          <w:sz w:val="30"/>
          <w:szCs w:val="30"/>
        </w:rPr>
        <w:t>制度得到有效执行</w:t>
      </w:r>
      <w:r>
        <w:rPr>
          <w:rFonts w:hint="eastAsia" w:ascii="仿宋" w:hAnsi="仿宋" w:eastAsia="仿宋" w:cs="仿宋"/>
          <w:color w:val="000000"/>
          <w:sz w:val="30"/>
          <w:szCs w:val="30"/>
          <w:lang w:eastAsia="zh-CN"/>
        </w:rPr>
        <w:t>，资金使用合规，按要求按时预决算信息公开。</w:t>
      </w:r>
      <w:r>
        <w:rPr>
          <w:rFonts w:hint="eastAsia" w:ascii="仿宋" w:hAnsi="仿宋" w:eastAsia="仿宋" w:cs="仿宋"/>
          <w:color w:val="000000"/>
          <w:sz w:val="30"/>
          <w:szCs w:val="30"/>
        </w:rPr>
        <w:t>根据评分标准，该项指标</w:t>
      </w:r>
      <w:r>
        <w:rPr>
          <w:rFonts w:hint="eastAsia" w:ascii="仿宋" w:hAnsi="仿宋" w:eastAsia="仿宋" w:cs="仿宋"/>
          <w:color w:val="000000"/>
          <w:sz w:val="30"/>
          <w:szCs w:val="30"/>
          <w:lang w:val="en-US" w:eastAsia="zh-CN"/>
        </w:rPr>
        <w:t>为满分</w:t>
      </w:r>
      <w:r>
        <w:rPr>
          <w:rFonts w:hint="eastAsia" w:ascii="仿宋" w:hAnsi="仿宋" w:eastAsia="仿宋" w:cs="仿宋"/>
          <w:color w:val="00000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部门</w:t>
      </w:r>
      <w:r>
        <w:rPr>
          <w:rFonts w:hint="eastAsia" w:ascii="仿宋" w:hAnsi="仿宋" w:eastAsia="仿宋" w:cs="仿宋"/>
          <w:color w:val="000000"/>
          <w:kern w:val="0"/>
          <w:sz w:val="30"/>
          <w:szCs w:val="30"/>
          <w:lang w:eastAsia="zh-CN"/>
        </w:rPr>
        <w:t>资产</w:t>
      </w:r>
      <w:r>
        <w:rPr>
          <w:rFonts w:hint="eastAsia" w:ascii="仿宋" w:hAnsi="仿宋" w:eastAsia="仿宋" w:cs="仿宋"/>
          <w:color w:val="000000"/>
          <w:kern w:val="0"/>
          <w:sz w:val="30"/>
          <w:szCs w:val="30"/>
        </w:rPr>
        <w:t>管理情况</w:t>
      </w:r>
    </w:p>
    <w:p>
      <w:pPr>
        <w:pStyle w:val="6"/>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sz w:val="30"/>
          <w:szCs w:val="30"/>
          <w:lang w:eastAsia="zh-CN"/>
        </w:rPr>
        <w:t>本部门建有资产</w:t>
      </w:r>
      <w:r>
        <w:rPr>
          <w:rFonts w:hint="eastAsia" w:ascii="仿宋" w:hAnsi="仿宋" w:eastAsia="仿宋" w:cs="仿宋"/>
          <w:color w:val="000000"/>
          <w:sz w:val="30"/>
          <w:szCs w:val="30"/>
        </w:rPr>
        <w:t>管理制度健全</w:t>
      </w:r>
      <w:r>
        <w:rPr>
          <w:rFonts w:hint="eastAsia" w:ascii="仿宋" w:hAnsi="仿宋" w:eastAsia="仿宋" w:cs="仿宋"/>
          <w:color w:val="000000"/>
          <w:sz w:val="30"/>
          <w:szCs w:val="30"/>
          <w:lang w:eastAsia="zh-CN"/>
        </w:rPr>
        <w:t>，专人</w:t>
      </w:r>
      <w:r>
        <w:rPr>
          <w:rFonts w:hint="eastAsia" w:ascii="仿宋" w:hAnsi="仿宋" w:eastAsia="仿宋" w:cs="仿宋"/>
          <w:color w:val="000000"/>
          <w:sz w:val="30"/>
          <w:szCs w:val="30"/>
        </w:rPr>
        <w:t>管理、</w:t>
      </w:r>
      <w:r>
        <w:rPr>
          <w:rFonts w:hint="eastAsia" w:ascii="仿宋" w:hAnsi="仿宋" w:eastAsia="仿宋" w:cs="仿宋"/>
          <w:color w:val="000000"/>
          <w:sz w:val="30"/>
          <w:szCs w:val="30"/>
          <w:lang w:eastAsia="zh-CN"/>
        </w:rPr>
        <w:t>部门资产使用</w:t>
      </w:r>
      <w:r>
        <w:rPr>
          <w:rFonts w:hint="eastAsia" w:ascii="仿宋" w:hAnsi="仿宋" w:eastAsia="仿宋" w:cs="仿宋"/>
          <w:color w:val="000000"/>
          <w:sz w:val="30"/>
          <w:szCs w:val="30"/>
        </w:rPr>
        <w:t>规范</w:t>
      </w:r>
      <w:r>
        <w:rPr>
          <w:rFonts w:hint="eastAsia" w:ascii="仿宋" w:hAnsi="仿宋" w:eastAsia="仿宋" w:cs="仿宋"/>
          <w:color w:val="000000"/>
          <w:sz w:val="30"/>
          <w:szCs w:val="30"/>
          <w:lang w:eastAsia="zh-CN"/>
        </w:rPr>
        <w:t>、配置合理，处置规范。</w:t>
      </w:r>
      <w:r>
        <w:rPr>
          <w:rFonts w:hint="eastAsia" w:ascii="仿宋" w:hAnsi="仿宋" w:eastAsia="仿宋" w:cs="仿宋"/>
          <w:color w:val="000000"/>
          <w:sz w:val="30"/>
          <w:szCs w:val="30"/>
        </w:rPr>
        <w:t>根据评分标准，该项指标</w:t>
      </w:r>
      <w:r>
        <w:rPr>
          <w:rFonts w:hint="eastAsia" w:ascii="仿宋" w:hAnsi="仿宋" w:eastAsia="仿宋" w:cs="仿宋"/>
          <w:color w:val="000000"/>
          <w:sz w:val="30"/>
          <w:szCs w:val="30"/>
          <w:lang w:val="en-US" w:eastAsia="zh-CN"/>
        </w:rPr>
        <w:t>为满分</w:t>
      </w:r>
      <w:r>
        <w:rPr>
          <w:rFonts w:hint="eastAsia" w:ascii="仿宋" w:hAnsi="仿宋" w:eastAsia="仿宋" w:cs="仿宋"/>
          <w:color w:val="000000"/>
          <w:sz w:val="30"/>
          <w:szCs w:val="30"/>
        </w:rPr>
        <w:t>。</w:t>
      </w:r>
    </w:p>
    <w:p>
      <w:pPr>
        <w:keepNext w:val="0"/>
        <w:keepLines w:val="0"/>
        <w:pageBreakBefore w:val="0"/>
        <w:widowControl/>
        <w:numPr>
          <w:ilvl w:val="0"/>
          <w:numId w:val="0"/>
        </w:numPr>
        <w:shd w:val="clear" w:color="auto" w:fill="FFFFFF"/>
        <w:tabs>
          <w:tab w:val="right" w:pos="7704"/>
        </w:tabs>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bCs/>
          <w:kern w:val="2"/>
          <w:sz w:val="30"/>
          <w:szCs w:val="30"/>
          <w:lang w:val="en-US" w:eastAsia="zh-CN" w:bidi="ar-SA"/>
        </w:rPr>
        <w:t xml:space="preserve">（三）、部门职责履行 </w:t>
      </w:r>
    </w:p>
    <w:p>
      <w:pPr>
        <w:pStyle w:val="6"/>
        <w:keepNext w:val="0"/>
        <w:keepLines w:val="0"/>
        <w:pageBreakBefore w:val="0"/>
        <w:kinsoku/>
        <w:wordWrap/>
        <w:overflowPunct/>
        <w:topLinePunct w:val="0"/>
        <w:autoSpaceDE/>
        <w:autoSpaceDN/>
        <w:bidi w:val="0"/>
        <w:adjustRightInd/>
        <w:snapToGrid/>
        <w:spacing w:line="500" w:lineRule="exact"/>
        <w:ind w:left="0" w:leftChars="0" w:firstLine="600" w:firstLineChars="200"/>
        <w:jc w:val="both"/>
        <w:textAlignment w:val="auto"/>
        <w:rPr>
          <w:rFonts w:hint="default" w:ascii="仿宋" w:hAnsi="仿宋" w:eastAsia="仿宋" w:cs="仿宋"/>
          <w:color w:val="000000"/>
          <w:kern w:val="0"/>
          <w:sz w:val="30"/>
          <w:szCs w:val="30"/>
          <w:lang w:val="en-US" w:eastAsia="zh-CN"/>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通过</w:t>
      </w:r>
      <w:r>
        <w:rPr>
          <w:rFonts w:hint="eastAsia" w:ascii="仿宋" w:hAnsi="仿宋" w:eastAsia="仿宋" w:cs="仿宋"/>
          <w:color w:val="000000"/>
          <w:sz w:val="30"/>
          <w:szCs w:val="30"/>
          <w:lang w:eastAsia="zh-CN"/>
        </w:rPr>
        <w:t>严格执行制定的精细化管理细则</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截止</w:t>
      </w:r>
      <w:r>
        <w:rPr>
          <w:rFonts w:hint="eastAsia" w:ascii="仿宋" w:hAnsi="仿宋" w:eastAsia="仿宋" w:cs="仿宋"/>
          <w:color w:val="000000"/>
          <w:sz w:val="30"/>
          <w:szCs w:val="30"/>
          <w:lang w:val="en-US" w:eastAsia="zh-CN"/>
        </w:rPr>
        <w:t>2021年底累计</w:t>
      </w:r>
      <w:r>
        <w:rPr>
          <w:rFonts w:hint="eastAsia" w:ascii="仿宋" w:hAnsi="仿宋" w:eastAsia="仿宋" w:cs="仿宋"/>
          <w:color w:val="000000"/>
          <w:sz w:val="30"/>
          <w:szCs w:val="30"/>
          <w:lang w:eastAsia="zh-CN"/>
        </w:rPr>
        <w:t>完成高新技术认定</w:t>
      </w:r>
      <w:r>
        <w:rPr>
          <w:rFonts w:hint="eastAsia" w:ascii="仿宋" w:hAnsi="仿宋" w:eastAsia="仿宋" w:cs="仿宋"/>
          <w:color w:val="auto"/>
          <w:sz w:val="30"/>
          <w:szCs w:val="30"/>
          <w:lang w:val="en-US" w:eastAsia="zh-CN"/>
        </w:rPr>
        <w:t>15</w:t>
      </w:r>
      <w:r>
        <w:rPr>
          <w:rFonts w:hint="eastAsia" w:ascii="仿宋" w:hAnsi="仿宋" w:eastAsia="仿宋" w:cs="仿宋"/>
          <w:color w:val="000000"/>
          <w:sz w:val="30"/>
          <w:szCs w:val="30"/>
          <w:lang w:val="en-US" w:eastAsia="zh-CN"/>
        </w:rPr>
        <w:t>家，完成省、市、县级项目申报63项。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bCs/>
          <w:kern w:val="2"/>
          <w:sz w:val="30"/>
          <w:szCs w:val="30"/>
          <w:lang w:val="en-US" w:eastAsia="zh-CN" w:bidi="ar-SA"/>
        </w:rPr>
        <w:t>（四）、履职效益情况</w:t>
      </w:r>
    </w:p>
    <w:p>
      <w:pPr>
        <w:pStyle w:val="6"/>
        <w:keepNext w:val="0"/>
        <w:keepLines w:val="0"/>
        <w:pageBreakBefore w:val="0"/>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sz w:val="30"/>
          <w:szCs w:val="30"/>
        </w:rPr>
      </w:pPr>
      <w:r>
        <w:rPr>
          <w:rFonts w:hint="eastAsia" w:ascii="仿宋" w:hAnsi="仿宋" w:eastAsia="仿宋" w:cs="仿宋"/>
          <w:b/>
          <w:color w:val="000000"/>
          <w:kern w:val="0"/>
          <w:sz w:val="30"/>
          <w:szCs w:val="30"/>
          <w:lang w:val="en-US" w:eastAsia="zh-CN"/>
        </w:rPr>
        <w:t>1、</w:t>
      </w:r>
      <w:r>
        <w:rPr>
          <w:rFonts w:hint="eastAsia" w:ascii="仿宋" w:hAnsi="仿宋" w:eastAsia="仿宋" w:cs="仿宋"/>
          <w:b/>
          <w:color w:val="000000"/>
          <w:kern w:val="0"/>
          <w:sz w:val="30"/>
          <w:szCs w:val="30"/>
        </w:rPr>
        <w:t>经济效益</w:t>
      </w:r>
      <w:r>
        <w:rPr>
          <w:rFonts w:hint="eastAsia" w:ascii="仿宋" w:hAnsi="仿宋" w:eastAsia="仿宋" w:cs="仿宋"/>
          <w:b/>
          <w:color w:val="000000"/>
          <w:kern w:val="0"/>
          <w:sz w:val="30"/>
          <w:szCs w:val="30"/>
          <w:lang w:eastAsia="zh-CN"/>
        </w:rPr>
        <w:t>：</w:t>
      </w:r>
      <w:r>
        <w:rPr>
          <w:rFonts w:hint="eastAsia" w:ascii="仿宋" w:hAnsi="仿宋" w:eastAsia="仿宋" w:cs="仿宋"/>
          <w:color w:val="000000"/>
          <w:sz w:val="30"/>
          <w:szCs w:val="30"/>
        </w:rPr>
        <w:t>通过不断改善</w:t>
      </w:r>
      <w:r>
        <w:rPr>
          <w:rFonts w:hint="eastAsia" w:ascii="仿宋" w:hAnsi="仿宋" w:eastAsia="仿宋" w:cs="仿宋"/>
          <w:color w:val="000000"/>
          <w:sz w:val="30"/>
          <w:szCs w:val="30"/>
          <w:lang w:eastAsia="zh-CN"/>
        </w:rPr>
        <w:t>并</w:t>
      </w:r>
      <w:r>
        <w:rPr>
          <w:rFonts w:hint="eastAsia" w:ascii="仿宋" w:hAnsi="仿宋" w:eastAsia="仿宋" w:cs="仿宋"/>
          <w:color w:val="000000"/>
          <w:sz w:val="30"/>
          <w:szCs w:val="30"/>
        </w:rPr>
        <w:t>加强制度体系建设，严格资产管理和经费使用，</w:t>
      </w:r>
      <w:r>
        <w:rPr>
          <w:rFonts w:hint="eastAsia" w:ascii="仿宋" w:hAnsi="仿宋" w:eastAsia="仿宋" w:cs="仿宋"/>
          <w:color w:val="000000"/>
          <w:sz w:val="30"/>
          <w:szCs w:val="30"/>
          <w:lang w:eastAsia="zh-CN"/>
        </w:rPr>
        <w:t>提高资金使用</w:t>
      </w:r>
      <w:r>
        <w:rPr>
          <w:rFonts w:hint="eastAsia" w:ascii="仿宋" w:hAnsi="仿宋" w:eastAsia="仿宋" w:cs="仿宋"/>
          <w:color w:val="000000"/>
          <w:sz w:val="30"/>
          <w:szCs w:val="30"/>
        </w:rPr>
        <w:t>效率，成本进一步降低。</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lang w:val="en-US" w:eastAsia="zh-CN"/>
        </w:rPr>
        <w:t>2、社会效应</w:t>
      </w:r>
      <w:r>
        <w:rPr>
          <w:rFonts w:hint="eastAsia" w:ascii="仿宋" w:hAnsi="仿宋" w:eastAsia="仿宋" w:cs="仿宋"/>
          <w:b/>
          <w:color w:val="000000"/>
          <w:kern w:val="0"/>
          <w:sz w:val="30"/>
          <w:szCs w:val="30"/>
          <w:lang w:eastAsia="zh-CN"/>
        </w:rPr>
        <w:t>：</w:t>
      </w:r>
      <w:r>
        <w:rPr>
          <w:rFonts w:hint="eastAsia" w:ascii="仿宋" w:hAnsi="仿宋" w:eastAsia="仿宋" w:cs="仿宋"/>
          <w:color w:val="000000"/>
          <w:kern w:val="0"/>
          <w:sz w:val="30"/>
          <w:szCs w:val="30"/>
          <w:lang w:eastAsia="zh-CN"/>
        </w:rPr>
        <w:t>把握科技发展的新形势,及时掌握科技动态,立足于掌握竞争信息的主动权,为企业发展提供指导、帮助和服务,效益明显。</w:t>
      </w:r>
      <w:r>
        <w:rPr>
          <w:rFonts w:hint="eastAsia" w:ascii="仿宋" w:hAnsi="仿宋" w:eastAsia="仿宋" w:cs="仿宋"/>
          <w:color w:val="000000"/>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firstLine="602" w:firstLineChars="200"/>
        <w:jc w:val="both"/>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b/>
          <w:color w:val="000000"/>
          <w:kern w:val="0"/>
          <w:sz w:val="30"/>
          <w:szCs w:val="30"/>
          <w:lang w:val="en-US" w:eastAsia="zh-CN"/>
        </w:rPr>
        <w:t>3、生态效应：</w:t>
      </w:r>
      <w:r>
        <w:rPr>
          <w:rFonts w:hint="eastAsia" w:ascii="仿宋" w:hAnsi="仿宋" w:eastAsia="仿宋" w:cs="仿宋"/>
          <w:color w:val="000000"/>
          <w:kern w:val="0"/>
          <w:sz w:val="30"/>
          <w:szCs w:val="30"/>
          <w:lang w:val="en-US" w:eastAsia="zh-CN"/>
        </w:rPr>
        <w:t>环境效益:所指导服务的企业、产业实现低碳、环保、绿色、安全发展等达标。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2"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b/>
          <w:color w:val="000000"/>
          <w:kern w:val="0"/>
          <w:sz w:val="30"/>
          <w:szCs w:val="30"/>
          <w:lang w:val="en-US" w:eastAsia="zh-CN"/>
        </w:rPr>
        <w:t>4、</w:t>
      </w:r>
      <w:r>
        <w:rPr>
          <w:rFonts w:hint="eastAsia" w:ascii="仿宋" w:hAnsi="仿宋" w:eastAsia="仿宋" w:cs="仿宋"/>
          <w:b/>
          <w:color w:val="000000"/>
          <w:kern w:val="0"/>
          <w:sz w:val="30"/>
          <w:szCs w:val="30"/>
        </w:rPr>
        <w:t>社会公众</w:t>
      </w:r>
      <w:r>
        <w:rPr>
          <w:rFonts w:hint="eastAsia" w:ascii="仿宋" w:hAnsi="仿宋" w:eastAsia="仿宋" w:cs="仿宋"/>
          <w:b/>
          <w:color w:val="000000"/>
          <w:kern w:val="0"/>
          <w:sz w:val="30"/>
          <w:szCs w:val="30"/>
          <w:lang w:eastAsia="zh-CN"/>
        </w:rPr>
        <w:t>或服务对象</w:t>
      </w:r>
      <w:r>
        <w:rPr>
          <w:rFonts w:hint="eastAsia" w:ascii="仿宋" w:hAnsi="仿宋" w:eastAsia="仿宋" w:cs="仿宋"/>
          <w:b/>
          <w:color w:val="000000"/>
          <w:kern w:val="0"/>
          <w:sz w:val="30"/>
          <w:szCs w:val="30"/>
        </w:rPr>
        <w:t>满意度</w:t>
      </w:r>
      <w:r>
        <w:rPr>
          <w:rFonts w:hint="eastAsia" w:ascii="仿宋" w:hAnsi="仿宋" w:eastAsia="仿宋" w:cs="仿宋"/>
          <w:b/>
          <w:color w:val="000000"/>
          <w:kern w:val="0"/>
          <w:sz w:val="30"/>
          <w:szCs w:val="30"/>
          <w:lang w:eastAsia="zh-CN"/>
        </w:rPr>
        <w:t>：</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21</w:t>
      </w:r>
      <w:r>
        <w:rPr>
          <w:rFonts w:hint="eastAsia" w:ascii="仿宋" w:hAnsi="仿宋" w:eastAsia="仿宋" w:cs="仿宋"/>
          <w:color w:val="000000"/>
          <w:kern w:val="0"/>
          <w:sz w:val="30"/>
          <w:szCs w:val="30"/>
        </w:rPr>
        <w:t>年，</w:t>
      </w:r>
      <w:r>
        <w:rPr>
          <w:rFonts w:hint="eastAsia" w:ascii="仿宋" w:hAnsi="仿宋" w:eastAsia="仿宋" w:cs="仿宋"/>
          <w:color w:val="000000"/>
          <w:sz w:val="30"/>
          <w:szCs w:val="30"/>
        </w:rPr>
        <w:t>通过强化长效管理机制，</w:t>
      </w:r>
      <w:r>
        <w:rPr>
          <w:rFonts w:hint="eastAsia" w:ascii="仿宋" w:hAnsi="仿宋" w:eastAsia="仿宋" w:cs="仿宋"/>
          <w:color w:val="000000"/>
          <w:sz w:val="30"/>
          <w:szCs w:val="30"/>
          <w:lang w:eastAsia="zh-CN"/>
        </w:rPr>
        <w:t>项目</w:t>
      </w:r>
      <w:r>
        <w:rPr>
          <w:rFonts w:hint="eastAsia" w:ascii="仿宋" w:hAnsi="仿宋" w:eastAsia="仿宋" w:cs="仿宋"/>
          <w:color w:val="000000"/>
          <w:sz w:val="30"/>
          <w:szCs w:val="30"/>
        </w:rPr>
        <w:t>制度化，</w:t>
      </w:r>
      <w:r>
        <w:rPr>
          <w:rFonts w:hint="eastAsia" w:ascii="仿宋" w:hAnsi="仿宋" w:eastAsia="仿宋" w:cs="仿宋"/>
          <w:color w:val="000000"/>
          <w:sz w:val="30"/>
          <w:szCs w:val="30"/>
          <w:lang w:eastAsia="zh-CN"/>
        </w:rPr>
        <w:t>虽取得一定成绩，但仍无法满足企业对科技投入的需求，故满意度无法达到</w:t>
      </w:r>
      <w:r>
        <w:rPr>
          <w:rFonts w:hint="eastAsia" w:ascii="仿宋" w:hAnsi="仿宋" w:eastAsia="仿宋" w:cs="仿宋"/>
          <w:color w:val="000000"/>
          <w:sz w:val="30"/>
          <w:szCs w:val="30"/>
          <w:lang w:val="en-US" w:eastAsia="zh-CN"/>
        </w:rPr>
        <w:t>100%。</w:t>
      </w:r>
    </w:p>
    <w:p>
      <w:pPr>
        <w:pStyle w:val="5"/>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存在的问题及原因分析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预算编制工作有待细化。预算编制不够明确和细化，预算编制的合理性需要提高，预算执行力度还要进一步加强。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绩效目标设立不够</w:t>
      </w:r>
      <w:r>
        <w:rPr>
          <w:rFonts w:hint="eastAsia" w:ascii="仿宋" w:hAnsi="仿宋" w:eastAsia="仿宋" w:cs="仿宋"/>
          <w:sz w:val="30"/>
          <w:szCs w:val="30"/>
          <w:lang w:val="en-US" w:eastAsia="zh-CN"/>
        </w:rPr>
        <w:t>完善</w:t>
      </w:r>
      <w:r>
        <w:rPr>
          <w:rFonts w:hint="eastAsia" w:ascii="仿宋" w:hAnsi="仿宋" w:eastAsia="仿宋" w:cs="仿宋"/>
          <w:sz w:val="30"/>
          <w:szCs w:val="30"/>
        </w:rPr>
        <w:t>、</w:t>
      </w:r>
      <w:r>
        <w:rPr>
          <w:rFonts w:hint="eastAsia" w:ascii="仿宋" w:hAnsi="仿宋" w:eastAsia="仿宋" w:cs="仿宋"/>
          <w:sz w:val="30"/>
          <w:szCs w:val="30"/>
          <w:lang w:eastAsia="zh-CN"/>
        </w:rPr>
        <w:t>待做好</w:t>
      </w:r>
      <w:r>
        <w:rPr>
          <w:rFonts w:hint="eastAsia" w:ascii="仿宋" w:hAnsi="仿宋" w:eastAsia="仿宋" w:cs="仿宋"/>
          <w:sz w:val="30"/>
          <w:szCs w:val="30"/>
        </w:rPr>
        <w:t>细化和量化</w:t>
      </w:r>
      <w:r>
        <w:rPr>
          <w:rFonts w:hint="eastAsia" w:ascii="仿宋" w:hAnsi="仿宋" w:eastAsia="仿宋" w:cs="仿宋"/>
          <w:sz w:val="30"/>
          <w:szCs w:val="30"/>
          <w:lang w:eastAsia="zh-CN"/>
        </w:rPr>
        <w:t>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公用经费和三公经费控制有一定难度，基本为刚性支出。</w:t>
      </w:r>
    </w:p>
    <w:p>
      <w:pPr>
        <w:pStyle w:val="5"/>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下一步改进措施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（三）、</w:t>
      </w:r>
      <w:r>
        <w:rPr>
          <w:rFonts w:hint="eastAsia" w:ascii="仿宋" w:hAnsi="仿宋" w:eastAsia="仿宋" w:cs="仿宋"/>
          <w:sz w:val="30"/>
          <w:szCs w:val="30"/>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4、对相关人员加强培训，特别是针对《预算法》《行政事业单位会计制度》等学习培训，规范部门预算收支核算，切实提高部门预算收支管理水平。</w:t>
      </w:r>
    </w:p>
    <w:p>
      <w:pPr>
        <w:pStyle w:val="5"/>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七、</w:t>
      </w:r>
      <w:r>
        <w:rPr>
          <w:rFonts w:hint="eastAsia" w:ascii="仿宋" w:hAnsi="仿宋" w:eastAsia="仿宋" w:cs="仿宋"/>
          <w:b/>
          <w:bCs/>
          <w:sz w:val="30"/>
          <w:szCs w:val="30"/>
        </w:rPr>
        <w:t>其他需要说明的情况</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无</w:t>
      </w:r>
    </w:p>
    <w:p>
      <w:pPr>
        <w:keepNext w:val="0"/>
        <w:keepLines w:val="0"/>
        <w:pageBreakBefore w:val="0"/>
        <w:widowControl/>
        <w:kinsoku/>
        <w:wordWrap/>
        <w:overflowPunct/>
        <w:topLinePunct w:val="0"/>
        <w:autoSpaceDE/>
        <w:autoSpaceDN/>
        <w:bidi w:val="0"/>
        <w:adjustRightInd/>
        <w:snapToGrid/>
        <w:spacing w:line="500" w:lineRule="exact"/>
        <w:ind w:left="0" w:leftChars="0" w:firstLine="600" w:firstLineChars="200"/>
        <w:jc w:val="both"/>
        <w:textAlignment w:val="auto"/>
        <w:rPr>
          <w:rFonts w:hint="eastAsia" w:ascii="仿宋" w:hAnsi="仿宋" w:eastAsia="仿宋" w:cs="仿宋"/>
          <w:sz w:val="30"/>
          <w:szCs w:val="30"/>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4800" w:firstLineChars="16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辰溪县科学技术局</w:t>
      </w:r>
    </w:p>
    <w:p>
      <w:pPr>
        <w:keepNext w:val="0"/>
        <w:keepLines w:val="0"/>
        <w:pageBreakBefore w:val="0"/>
        <w:widowControl/>
        <w:kinsoku/>
        <w:wordWrap/>
        <w:overflowPunct/>
        <w:topLinePunct w:val="0"/>
        <w:autoSpaceDE/>
        <w:autoSpaceDN/>
        <w:bidi w:val="0"/>
        <w:adjustRightInd/>
        <w:snapToGrid/>
        <w:spacing w:line="500" w:lineRule="exact"/>
        <w:ind w:firstLine="5100" w:firstLineChars="17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2022年4月11日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DD43A"/>
    <w:multiLevelType w:val="singleLevel"/>
    <w:tmpl w:val="0C0DD43A"/>
    <w:lvl w:ilvl="0" w:tentative="0">
      <w:start w:val="1"/>
      <w:numFmt w:val="chineseCounting"/>
      <w:suff w:val="nothing"/>
      <w:lvlText w:val="（%1）"/>
      <w:lvlJc w:val="left"/>
      <w:pPr>
        <w:ind w:left="100"/>
      </w:pPr>
      <w:rPr>
        <w:rFonts w:hint="eastAsia"/>
      </w:rPr>
    </w:lvl>
  </w:abstractNum>
  <w:abstractNum w:abstractNumId="1">
    <w:nsid w:val="1B9E3271"/>
    <w:multiLevelType w:val="singleLevel"/>
    <w:tmpl w:val="1B9E32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E520A"/>
    <w:rsid w:val="1C636DD9"/>
    <w:rsid w:val="2DA30082"/>
    <w:rsid w:val="34546415"/>
    <w:rsid w:val="41341D99"/>
    <w:rsid w:val="6AA01F70"/>
    <w:rsid w:val="77E3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5">
    <w:name w:val="List Paragraph"/>
    <w:basedOn w:val="1"/>
    <w:qFormat/>
    <w:uiPriority w:val="99"/>
    <w:pPr>
      <w:ind w:firstLine="420" w:firstLineChars="200"/>
    </w:pPr>
    <w:rPr>
      <w:rFonts w:ascii="Calibri" w:hAnsi="Calibri"/>
      <w:szCs w:val="22"/>
    </w:rPr>
  </w:style>
  <w:style w:type="paragraph" w:customStyle="1" w:styleId="6">
    <w:name w:val="p48"/>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3396</Words>
  <Characters>3470</Characters>
  <Lines>0</Lines>
  <Paragraphs>0</Paragraphs>
  <TotalTime>13</TotalTime>
  <ScaleCrop>false</ScaleCrop>
  <LinksUpToDate>false</LinksUpToDate>
  <CharactersWithSpaces>3476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2022-04-01T07:22:00Z</dcterms:created>
  <dc:creator>Administrator</dc:creator>
  <cp:lastModifiedBy>Administrator</cp:lastModifiedBy>
  <dcterms:modified xsi:type="dcterms:W3CDTF">2022-04-12T01:40:03Z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DBCB58E65BD441B6858C7FBC8D6B2ED1</vt:lpwstr>
  </property>
</Properties>
</file>