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w:t>
      </w:r>
    </w:p>
    <w:tbl>
      <w:tblPr>
        <w:tblStyle w:val="6"/>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bl>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w:t>
      </w:r>
    </w:p>
    <w:tbl>
      <w:tblPr>
        <w:tblStyle w:val="6"/>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95</w:t>
            </w:r>
          </w:p>
        </w:tc>
      </w:tr>
    </w:tbl>
    <w:p/>
    <w:p>
      <w:pPr>
        <w:widowControl/>
        <w:jc w:val="left"/>
      </w:pPr>
      <w:r>
        <w:br w:type="page"/>
      </w:r>
    </w:p>
    <w:p>
      <w:pPr>
        <w:widowControl/>
        <w:jc w:val="left"/>
        <w:rPr>
          <w:rFonts w:eastAsia="仿宋_GB2312"/>
          <w:sz w:val="32"/>
          <w:szCs w:val="32"/>
        </w:rPr>
      </w:pPr>
      <w:r>
        <w:rPr>
          <w:rFonts w:hint="eastAsia" w:eastAsia="黑体"/>
          <w:sz w:val="32"/>
          <w:szCs w:val="32"/>
        </w:rPr>
        <w:t>附件</w:t>
      </w:r>
      <w:r>
        <w:rPr>
          <w:rFonts w:eastAsia="黑体"/>
          <w:sz w:val="32"/>
          <w:szCs w:val="32"/>
        </w:rPr>
        <w:t>2</w:t>
      </w: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ascii="仿宋" w:hAnsi="仿宋" w:eastAsia="仿宋"/>
        </w:rPr>
      </w:pPr>
      <w:r>
        <w:rPr>
          <w:rFonts w:hint="eastAsia" w:ascii="仿宋" w:hAnsi="仿宋" w:eastAsia="仿宋"/>
        </w:rPr>
        <w:t>填报单位：</w:t>
      </w:r>
    </w:p>
    <w:tbl>
      <w:tblPr>
        <w:tblStyle w:val="6"/>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w:t>
            </w:r>
          </w:p>
        </w:tc>
        <w:tc>
          <w:tcPr>
            <w:tcW w:w="2292"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w:t>
            </w:r>
          </w:p>
        </w:tc>
        <w:tc>
          <w:tcPr>
            <w:tcW w:w="2244" w:type="dxa"/>
            <w:tcBorders>
              <w:left w:val="nil"/>
            </w:tcBorders>
            <w:vAlign w:val="center"/>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2019</w:t>
            </w:r>
            <w:r>
              <w:rPr>
                <w:rFonts w:hint="eastAsia" w:ascii="仿宋" w:hAnsi="仿宋" w:eastAsia="仿宋"/>
              </w:rPr>
              <w:t>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tcPr>
          <w:p>
            <w:pPr>
              <w:spacing w:line="440" w:lineRule="exact"/>
              <w:rPr>
                <w:rFonts w:ascii="仿宋" w:hAnsi="仿宋" w:eastAsia="仿宋"/>
              </w:rPr>
            </w:pPr>
            <w:r>
              <w:rPr>
                <w:rFonts w:hint="eastAsia" w:ascii="仿宋" w:hAnsi="仿宋" w:eastAsia="仿宋"/>
              </w:rPr>
              <w:t>4.5</w:t>
            </w:r>
          </w:p>
        </w:tc>
        <w:tc>
          <w:tcPr>
            <w:tcW w:w="2292" w:type="dxa"/>
            <w:tcBorders>
              <w:left w:val="nil"/>
            </w:tcBorders>
          </w:tcPr>
          <w:p>
            <w:pPr>
              <w:spacing w:line="440" w:lineRule="exact"/>
              <w:rPr>
                <w:rFonts w:ascii="仿宋" w:hAnsi="仿宋" w:eastAsia="仿宋"/>
              </w:rPr>
            </w:pPr>
            <w:r>
              <w:rPr>
                <w:rFonts w:hint="eastAsia" w:ascii="仿宋" w:hAnsi="仿宋" w:eastAsia="仿宋"/>
              </w:rPr>
              <w:t>6.81</w:t>
            </w:r>
          </w:p>
        </w:tc>
        <w:tc>
          <w:tcPr>
            <w:tcW w:w="2244" w:type="dxa"/>
            <w:tcBorders>
              <w:left w:val="nil"/>
            </w:tcBorders>
          </w:tcPr>
          <w:p>
            <w:pPr>
              <w:spacing w:line="440" w:lineRule="exact"/>
              <w:rPr>
                <w:rFonts w:ascii="仿宋" w:hAnsi="仿宋" w:eastAsia="仿宋"/>
              </w:rPr>
            </w:pPr>
            <w:r>
              <w:rPr>
                <w:rFonts w:hint="eastAsia" w:ascii="仿宋" w:hAnsi="仿宋" w:eastAsia="仿宋"/>
              </w:rPr>
              <w:t>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rPr>
                <w:rFonts w:ascii="仿宋" w:hAnsi="仿宋" w:eastAsia="仿宋"/>
              </w:rPr>
            </w:pPr>
            <w:r>
              <w:rPr>
                <w:rFonts w:hint="eastAsia" w:ascii="仿宋" w:hAnsi="仿宋" w:eastAsia="仿宋"/>
              </w:rPr>
              <w:t>0</w:t>
            </w:r>
          </w:p>
        </w:tc>
        <w:tc>
          <w:tcPr>
            <w:tcW w:w="2292" w:type="dxa"/>
            <w:tcBorders>
              <w:left w:val="nil"/>
            </w:tcBorders>
          </w:tcPr>
          <w:p>
            <w:pPr>
              <w:spacing w:line="440" w:lineRule="exact"/>
              <w:rPr>
                <w:rFonts w:ascii="仿宋" w:hAnsi="仿宋" w:eastAsia="仿宋"/>
              </w:rPr>
            </w:pPr>
            <w:r>
              <w:rPr>
                <w:rFonts w:hint="eastAsia" w:ascii="仿宋" w:hAnsi="仿宋" w:eastAsia="仿宋"/>
              </w:rPr>
              <w:t>0</w:t>
            </w:r>
          </w:p>
        </w:tc>
        <w:tc>
          <w:tcPr>
            <w:tcW w:w="2244" w:type="dxa"/>
            <w:tcBorders>
              <w:left w:val="nil"/>
            </w:tcBorders>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tcPr>
          <w:p>
            <w:pPr>
              <w:spacing w:line="440" w:lineRule="exact"/>
              <w:rPr>
                <w:rFonts w:ascii="仿宋" w:hAnsi="仿宋" w:eastAsia="仿宋"/>
              </w:rPr>
            </w:pPr>
            <w:r>
              <w:rPr>
                <w:rFonts w:hint="eastAsia" w:ascii="仿宋" w:hAnsi="仿宋" w:eastAsia="仿宋"/>
              </w:rPr>
              <w:t>0</w:t>
            </w:r>
          </w:p>
        </w:tc>
        <w:tc>
          <w:tcPr>
            <w:tcW w:w="2292" w:type="dxa"/>
            <w:tcBorders>
              <w:left w:val="nil"/>
            </w:tcBorders>
          </w:tcPr>
          <w:p>
            <w:pPr>
              <w:spacing w:line="440" w:lineRule="exact"/>
              <w:rPr>
                <w:rFonts w:ascii="仿宋" w:hAnsi="仿宋" w:eastAsia="仿宋"/>
              </w:rPr>
            </w:pPr>
            <w:r>
              <w:rPr>
                <w:rFonts w:hint="eastAsia" w:ascii="仿宋" w:hAnsi="仿宋" w:eastAsia="仿宋"/>
              </w:rPr>
              <w:t>0</w:t>
            </w:r>
          </w:p>
        </w:tc>
        <w:tc>
          <w:tcPr>
            <w:tcW w:w="2244" w:type="dxa"/>
            <w:tcBorders>
              <w:left w:val="nil"/>
            </w:tcBorders>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tcPr>
          <w:p>
            <w:pPr>
              <w:spacing w:line="440" w:lineRule="exact"/>
              <w:rPr>
                <w:rFonts w:ascii="仿宋" w:hAnsi="仿宋" w:eastAsia="仿宋"/>
              </w:rPr>
            </w:pPr>
            <w:r>
              <w:rPr>
                <w:rFonts w:hint="eastAsia" w:ascii="仿宋" w:hAnsi="仿宋" w:eastAsia="仿宋"/>
              </w:rPr>
              <w:t>0</w:t>
            </w:r>
          </w:p>
        </w:tc>
        <w:tc>
          <w:tcPr>
            <w:tcW w:w="2292" w:type="dxa"/>
            <w:tcBorders>
              <w:left w:val="nil"/>
            </w:tcBorders>
          </w:tcPr>
          <w:p>
            <w:pPr>
              <w:spacing w:line="440" w:lineRule="exact"/>
              <w:rPr>
                <w:rFonts w:ascii="仿宋" w:hAnsi="仿宋" w:eastAsia="仿宋"/>
              </w:rPr>
            </w:pPr>
            <w:r>
              <w:rPr>
                <w:rFonts w:hint="eastAsia" w:ascii="仿宋" w:hAnsi="仿宋" w:eastAsia="仿宋"/>
              </w:rPr>
              <w:t>0</w:t>
            </w:r>
          </w:p>
        </w:tc>
        <w:tc>
          <w:tcPr>
            <w:tcW w:w="2244" w:type="dxa"/>
            <w:tcBorders>
              <w:left w:val="nil"/>
            </w:tcBorders>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rPr>
                <w:rFonts w:ascii="仿宋" w:hAnsi="仿宋" w:eastAsia="仿宋"/>
              </w:rPr>
            </w:pPr>
            <w:r>
              <w:rPr>
                <w:rFonts w:hint="eastAsia" w:ascii="仿宋" w:hAnsi="仿宋" w:eastAsia="仿宋"/>
              </w:rPr>
              <w:t>0</w:t>
            </w:r>
          </w:p>
        </w:tc>
        <w:tc>
          <w:tcPr>
            <w:tcW w:w="2292" w:type="dxa"/>
            <w:tcBorders>
              <w:left w:val="nil"/>
            </w:tcBorders>
          </w:tcPr>
          <w:p>
            <w:pPr>
              <w:spacing w:line="440" w:lineRule="exact"/>
              <w:rPr>
                <w:rFonts w:ascii="仿宋" w:hAnsi="仿宋" w:eastAsia="仿宋"/>
              </w:rPr>
            </w:pPr>
            <w:r>
              <w:rPr>
                <w:rFonts w:hint="eastAsia" w:ascii="仿宋" w:hAnsi="仿宋" w:eastAsia="仿宋"/>
              </w:rPr>
              <w:t>0</w:t>
            </w:r>
          </w:p>
        </w:tc>
        <w:tc>
          <w:tcPr>
            <w:tcW w:w="2244" w:type="dxa"/>
            <w:tcBorders>
              <w:left w:val="nil"/>
            </w:tcBorders>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rPr>
                <w:rFonts w:ascii="仿宋" w:hAnsi="仿宋" w:eastAsia="仿宋"/>
              </w:rPr>
            </w:pPr>
            <w:r>
              <w:rPr>
                <w:rFonts w:hint="eastAsia" w:ascii="仿宋" w:hAnsi="仿宋" w:eastAsia="仿宋"/>
              </w:rPr>
              <w:t>4.5</w:t>
            </w:r>
          </w:p>
        </w:tc>
        <w:tc>
          <w:tcPr>
            <w:tcW w:w="2292" w:type="dxa"/>
            <w:tcBorders>
              <w:left w:val="nil"/>
            </w:tcBorders>
          </w:tcPr>
          <w:p>
            <w:pPr>
              <w:spacing w:line="440" w:lineRule="exact"/>
              <w:rPr>
                <w:rFonts w:ascii="仿宋" w:hAnsi="仿宋" w:eastAsia="仿宋"/>
              </w:rPr>
            </w:pPr>
            <w:r>
              <w:rPr>
                <w:rFonts w:hint="eastAsia" w:ascii="仿宋" w:hAnsi="仿宋" w:eastAsia="仿宋"/>
              </w:rPr>
              <w:t>6.81</w:t>
            </w:r>
          </w:p>
        </w:tc>
        <w:tc>
          <w:tcPr>
            <w:tcW w:w="2244" w:type="dxa"/>
            <w:tcBorders>
              <w:left w:val="nil"/>
            </w:tcBorders>
          </w:tcPr>
          <w:p>
            <w:pPr>
              <w:spacing w:line="440" w:lineRule="exact"/>
              <w:rPr>
                <w:rFonts w:ascii="仿宋" w:hAnsi="仿宋" w:eastAsia="仿宋"/>
              </w:rPr>
            </w:pPr>
            <w:r>
              <w:rPr>
                <w:rFonts w:hint="eastAsia" w:ascii="仿宋" w:hAnsi="仿宋" w:eastAsia="仿宋"/>
              </w:rPr>
              <w:t>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tcPr>
          <w:p>
            <w:pPr>
              <w:spacing w:line="440" w:lineRule="exact"/>
              <w:rPr>
                <w:rFonts w:ascii="仿宋" w:hAnsi="仿宋" w:eastAsia="仿宋"/>
              </w:rPr>
            </w:pPr>
            <w:r>
              <w:rPr>
                <w:rFonts w:hint="eastAsia" w:ascii="仿宋" w:hAnsi="仿宋" w:eastAsia="仿宋"/>
              </w:rPr>
              <w:t>27</w:t>
            </w:r>
          </w:p>
        </w:tc>
        <w:tc>
          <w:tcPr>
            <w:tcW w:w="2292" w:type="dxa"/>
            <w:tcBorders>
              <w:left w:val="nil"/>
            </w:tcBorders>
          </w:tcPr>
          <w:p>
            <w:pPr>
              <w:spacing w:line="440" w:lineRule="exact"/>
              <w:rPr>
                <w:rFonts w:ascii="仿宋" w:hAnsi="仿宋" w:eastAsia="仿宋"/>
              </w:rPr>
            </w:pPr>
            <w:r>
              <w:rPr>
                <w:rFonts w:hint="eastAsia" w:ascii="仿宋" w:hAnsi="仿宋" w:eastAsia="仿宋"/>
              </w:rPr>
              <w:t>100</w:t>
            </w:r>
          </w:p>
        </w:tc>
        <w:tc>
          <w:tcPr>
            <w:tcW w:w="2244" w:type="dxa"/>
            <w:tcBorders>
              <w:left w:val="nil"/>
            </w:tcBorders>
          </w:tcPr>
          <w:p>
            <w:pPr>
              <w:spacing w:line="440" w:lineRule="exact"/>
              <w:rPr>
                <w:rFonts w:ascii="仿宋" w:hAnsi="仿宋" w:eastAsia="仿宋"/>
              </w:rPr>
            </w:pPr>
            <w:r>
              <w:rPr>
                <w:rFonts w:hint="eastAsia" w:ascii="仿宋" w:hAnsi="仿宋" w:eastAsia="仿宋"/>
              </w:rPr>
              <w:t>163.97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rPr>
                <w:rFonts w:ascii="仿宋" w:hAnsi="仿宋" w:eastAsia="仿宋"/>
              </w:rPr>
            </w:pPr>
            <w:r>
              <w:rPr>
                <w:rFonts w:hint="eastAsia" w:ascii="仿宋" w:hAnsi="仿宋" w:eastAsia="仿宋"/>
              </w:rPr>
              <w:t>21.60</w:t>
            </w:r>
          </w:p>
        </w:tc>
        <w:tc>
          <w:tcPr>
            <w:tcW w:w="2292" w:type="dxa"/>
            <w:tcBorders>
              <w:left w:val="nil"/>
            </w:tcBorders>
          </w:tcPr>
          <w:p>
            <w:pPr>
              <w:spacing w:line="440" w:lineRule="exact"/>
              <w:rPr>
                <w:rFonts w:ascii="仿宋" w:hAnsi="仿宋" w:eastAsia="仿宋"/>
              </w:rPr>
            </w:pPr>
            <w:r>
              <w:rPr>
                <w:rFonts w:hint="eastAsia" w:ascii="仿宋" w:hAnsi="仿宋" w:eastAsia="仿宋"/>
              </w:rPr>
              <w:t>80</w:t>
            </w:r>
          </w:p>
        </w:tc>
        <w:tc>
          <w:tcPr>
            <w:tcW w:w="2244" w:type="dxa"/>
            <w:tcBorders>
              <w:left w:val="nil"/>
            </w:tcBorders>
          </w:tcPr>
          <w:p>
            <w:pPr>
              <w:spacing w:line="440" w:lineRule="exact"/>
              <w:rPr>
                <w:rFonts w:ascii="仿宋" w:hAnsi="仿宋" w:eastAsia="仿宋"/>
              </w:rPr>
            </w:pPr>
            <w:r>
              <w:rPr>
                <w:rFonts w:hint="eastAsia" w:ascii="仿宋" w:hAnsi="仿宋" w:eastAsia="仿宋"/>
              </w:rPr>
              <w:t>131.18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rPr>
                <w:rFonts w:ascii="仿宋" w:hAnsi="仿宋" w:eastAsia="仿宋"/>
              </w:rPr>
            </w:pPr>
            <w:r>
              <w:rPr>
                <w:rFonts w:hint="eastAsia" w:ascii="仿宋" w:hAnsi="仿宋" w:eastAsia="仿宋"/>
              </w:rPr>
              <w:t>5.4</w:t>
            </w:r>
          </w:p>
        </w:tc>
        <w:tc>
          <w:tcPr>
            <w:tcW w:w="2292" w:type="dxa"/>
            <w:tcBorders>
              <w:left w:val="nil"/>
            </w:tcBorders>
          </w:tcPr>
          <w:p>
            <w:pPr>
              <w:spacing w:line="440" w:lineRule="exact"/>
              <w:rPr>
                <w:rFonts w:ascii="仿宋" w:hAnsi="仿宋" w:eastAsia="仿宋"/>
              </w:rPr>
            </w:pPr>
            <w:r>
              <w:rPr>
                <w:rFonts w:hint="eastAsia" w:ascii="仿宋" w:hAnsi="仿宋" w:eastAsia="仿宋"/>
              </w:rPr>
              <w:t>20</w:t>
            </w:r>
          </w:p>
        </w:tc>
        <w:tc>
          <w:tcPr>
            <w:tcW w:w="2244" w:type="dxa"/>
            <w:tcBorders>
              <w:left w:val="nil"/>
            </w:tcBorders>
          </w:tcPr>
          <w:p>
            <w:pPr>
              <w:spacing w:line="440" w:lineRule="exact"/>
              <w:rPr>
                <w:rFonts w:ascii="仿宋" w:hAnsi="仿宋" w:eastAsia="仿宋"/>
              </w:rPr>
            </w:pPr>
            <w:r>
              <w:rPr>
                <w:rFonts w:hint="eastAsia" w:ascii="仿宋" w:hAnsi="仿宋" w:eastAsia="仿宋"/>
              </w:rPr>
              <w:t>32.79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tcPr>
          <w:p>
            <w:pPr>
              <w:spacing w:line="440" w:lineRule="exact"/>
              <w:rPr>
                <w:rFonts w:ascii="仿宋" w:hAnsi="仿宋" w:eastAsia="仿宋"/>
              </w:rPr>
            </w:pPr>
            <w:r>
              <w:rPr>
                <w:rFonts w:hint="eastAsia" w:ascii="仿宋" w:hAnsi="仿宋" w:eastAsia="仿宋"/>
              </w:rPr>
              <w:t>77.01</w:t>
            </w:r>
          </w:p>
        </w:tc>
        <w:tc>
          <w:tcPr>
            <w:tcW w:w="2292" w:type="dxa"/>
            <w:tcBorders>
              <w:left w:val="nil"/>
            </w:tcBorders>
          </w:tcPr>
          <w:p>
            <w:pPr>
              <w:spacing w:line="440" w:lineRule="exact"/>
              <w:rPr>
                <w:rFonts w:ascii="仿宋" w:hAnsi="仿宋" w:eastAsia="仿宋"/>
              </w:rPr>
            </w:pPr>
            <w:r>
              <w:rPr>
                <w:rFonts w:hint="eastAsia" w:ascii="仿宋" w:hAnsi="仿宋" w:eastAsia="仿宋"/>
              </w:rPr>
              <w:t>136.99</w:t>
            </w:r>
          </w:p>
        </w:tc>
        <w:tc>
          <w:tcPr>
            <w:tcW w:w="2244" w:type="dxa"/>
            <w:tcBorders>
              <w:left w:val="nil"/>
            </w:tcBorders>
          </w:tcPr>
          <w:p>
            <w:pPr>
              <w:spacing w:line="440" w:lineRule="exact"/>
              <w:rPr>
                <w:rFonts w:ascii="仿宋" w:hAnsi="仿宋" w:eastAsia="仿宋"/>
              </w:rPr>
            </w:pPr>
            <w:r>
              <w:rPr>
                <w:rFonts w:hint="eastAsia" w:ascii="仿宋" w:hAnsi="仿宋" w:eastAsia="仿宋"/>
              </w:rPr>
              <w:t>65.24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r>
              <w:rPr>
                <w:rFonts w:hint="eastAsia" w:ascii="仿宋" w:hAnsi="仿宋" w:eastAsia="仿宋"/>
              </w:rPr>
              <w:t>11.39</w:t>
            </w:r>
          </w:p>
        </w:tc>
        <w:tc>
          <w:tcPr>
            <w:tcW w:w="2244" w:type="dxa"/>
            <w:tcBorders>
              <w:left w:val="nil"/>
            </w:tcBorders>
          </w:tcPr>
          <w:p>
            <w:pPr>
              <w:spacing w:line="440" w:lineRule="exact"/>
              <w:rPr>
                <w:rFonts w:ascii="仿宋" w:hAnsi="仿宋" w:eastAsia="仿宋"/>
              </w:rPr>
            </w:pPr>
            <w:r>
              <w:rPr>
                <w:rFonts w:hint="eastAsia" w:ascii="仿宋" w:hAnsi="仿宋" w:eastAsia="仿宋"/>
              </w:rPr>
              <w:t>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r>
              <w:rPr>
                <w:rFonts w:hint="eastAsia" w:ascii="仿宋" w:hAnsi="仿宋" w:eastAsia="仿宋"/>
              </w:rPr>
              <w:t>6</w:t>
            </w:r>
          </w:p>
        </w:tc>
        <w:tc>
          <w:tcPr>
            <w:tcW w:w="2244" w:type="dxa"/>
            <w:tcBorders>
              <w:left w:val="nil"/>
            </w:tcBorders>
          </w:tcPr>
          <w:p>
            <w:pPr>
              <w:spacing w:line="440" w:lineRule="exact"/>
              <w:rPr>
                <w:rFonts w:ascii="仿宋" w:hAnsi="仿宋" w:eastAsia="仿宋"/>
              </w:rPr>
            </w:pPr>
            <w:r>
              <w:rPr>
                <w:rFonts w:hint="eastAsia" w:ascii="仿宋" w:hAnsi="仿宋" w:eastAsia="仿宋"/>
              </w:rPr>
              <w:t>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r>
              <w:rPr>
                <w:rFonts w:hint="eastAsia" w:ascii="仿宋" w:hAnsi="仿宋" w:eastAsia="仿宋"/>
              </w:rPr>
              <w:t>1.53</w:t>
            </w:r>
          </w:p>
        </w:tc>
        <w:tc>
          <w:tcPr>
            <w:tcW w:w="2244" w:type="dxa"/>
            <w:tcBorders>
              <w:left w:val="nil"/>
            </w:tcBorders>
          </w:tcPr>
          <w:p>
            <w:pPr>
              <w:spacing w:line="440" w:lineRule="exact"/>
              <w:rPr>
                <w:rFonts w:ascii="仿宋" w:hAnsi="仿宋" w:eastAsia="仿宋"/>
              </w:rPr>
            </w:pPr>
            <w:r>
              <w:rPr>
                <w:rFonts w:hint="eastAsia" w:ascii="仿宋" w:hAnsi="仿宋" w:eastAsia="仿宋"/>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r>
              <w:rPr>
                <w:rFonts w:hint="eastAsia" w:ascii="仿宋" w:hAnsi="仿宋" w:eastAsia="仿宋"/>
              </w:rPr>
              <w:t>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bl>
    <w:p>
      <w:pPr>
        <w:spacing w:line="400" w:lineRule="exact"/>
        <w:rPr>
          <w:rFonts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
    <w:p/>
    <w:p/>
    <w:p/>
    <w:p/>
    <w:p/>
    <w:p/>
    <w:p>
      <w:pPr>
        <w:widowControl/>
        <w:spacing w:line="600" w:lineRule="exact"/>
        <w:jc w:val="left"/>
        <w:rPr>
          <w:rFonts w:hint="eastAsia" w:eastAsia="黑体"/>
          <w:kern w:val="0"/>
          <w:sz w:val="32"/>
          <w:szCs w:val="32"/>
        </w:rPr>
      </w:pPr>
    </w:p>
    <w:p/>
    <w:p/>
    <w:p>
      <w:pPr>
        <w:widowControl/>
        <w:spacing w:line="600" w:lineRule="exact"/>
        <w:jc w:val="left"/>
        <w:rPr>
          <w:rFonts w:eastAsia="黑体"/>
          <w:kern w:val="0"/>
          <w:sz w:val="32"/>
          <w:szCs w:val="32"/>
        </w:rPr>
      </w:pPr>
      <w:r>
        <w:rPr>
          <w:rFonts w:hint="eastAsia" w:eastAsia="黑体"/>
          <w:kern w:val="0"/>
          <w:sz w:val="32"/>
          <w:szCs w:val="32"/>
        </w:rPr>
        <w:t>附件</w:t>
      </w:r>
      <w:r>
        <w:rPr>
          <w:rFonts w:eastAsia="黑体"/>
          <w:kern w:val="0"/>
          <w:sz w:val="32"/>
          <w:szCs w:val="32"/>
        </w:rPr>
        <w:t>3</w:t>
      </w:r>
    </w:p>
    <w:p>
      <w:pPr>
        <w:widowControl/>
        <w:spacing w:line="600" w:lineRule="exact"/>
        <w:jc w:val="left"/>
        <w:rPr>
          <w:rFonts w:eastAsia="黑体"/>
          <w:kern w:val="0"/>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0"/>
          <w:szCs w:val="40"/>
        </w:rPr>
      </w:pPr>
      <w:r>
        <w:rPr>
          <w:rFonts w:hint="eastAsia" w:ascii="宋体" w:hAnsi="宋体" w:eastAsia="宋体" w:cs="宋体"/>
          <w:b/>
          <w:bCs/>
          <w:sz w:val="40"/>
          <w:szCs w:val="40"/>
        </w:rPr>
        <w:t>部门整体支出绩效评价报告</w:t>
      </w:r>
    </w:p>
    <w:p>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宋体" w:hAnsi="宋体" w:eastAsia="宋体" w:cs="宋体"/>
          <w:sz w:val="28"/>
          <w:szCs w:val="28"/>
        </w:rPr>
      </w:pPr>
    </w:p>
    <w:p>
      <w:pPr>
        <w:pStyle w:val="13"/>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部门、单位基本情况</w:t>
      </w:r>
    </w:p>
    <w:p>
      <w:pPr>
        <w:widowControl/>
        <w:spacing w:after="204" w:line="462" w:lineRule="atLeast"/>
        <w:ind w:firstLine="480"/>
        <w:rPr>
          <w:rFonts w:asciiTheme="minorEastAsia" w:hAnsiTheme="minorEastAsia"/>
          <w:bCs/>
          <w:kern w:val="0"/>
          <w:sz w:val="32"/>
          <w:szCs w:val="32"/>
        </w:rPr>
      </w:pPr>
      <w:r>
        <w:rPr>
          <w:rFonts w:hint="eastAsia" w:ascii="仿宋" w:hAnsi="仿宋" w:eastAsia="仿宋" w:cs="仿宋"/>
          <w:sz w:val="30"/>
          <w:szCs w:val="30"/>
        </w:rPr>
        <w:t>（一）</w:t>
      </w:r>
      <w:r>
        <w:rPr>
          <w:rFonts w:hint="eastAsia" w:ascii="仿宋" w:hAnsi="仿宋" w:eastAsia="仿宋" w:cs="仿宋"/>
          <w:b/>
          <w:bCs/>
          <w:color w:val="000000"/>
          <w:sz w:val="30"/>
          <w:szCs w:val="30"/>
          <w:lang w:eastAsia="zh-CN"/>
        </w:rPr>
        <w:t>部门</w:t>
      </w:r>
      <w:r>
        <w:rPr>
          <w:rFonts w:hint="eastAsia" w:ascii="仿宋" w:hAnsi="仿宋" w:eastAsia="仿宋" w:cs="仿宋"/>
          <w:b/>
          <w:bCs/>
          <w:color w:val="000000"/>
          <w:sz w:val="30"/>
          <w:szCs w:val="30"/>
        </w:rPr>
        <w:t>机构设置：</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1、办公室（行政审批服务股）。负责机关日常运作，负责党建、人事、财务、工会工作。承担机关文电、会务、档案、保密、信访、政务公开、新闻宣传等工作。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 xml:space="preserve">2、综合业务股。承担县内各级科技计划、项目、人才和平台等服务工作。负责高新技术培育、成果转化、科技普及、产学研合作、全社会研发经费投入等科技统计、管理和服务工作。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下设二级事业单位1个：辰溪县科技信息研究所</w:t>
      </w:r>
    </w:p>
    <w:p>
      <w:pPr>
        <w:pStyle w:val="13"/>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部门职责</w:t>
      </w:r>
      <w:r>
        <w:rPr>
          <w:rFonts w:hint="eastAsia" w:ascii="仿宋" w:hAnsi="仿宋" w:eastAsia="仿宋" w:cs="仿宋"/>
          <w:b/>
          <w:bCs/>
          <w:sz w:val="30"/>
          <w:szCs w:val="30"/>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1、贯彻创新驱动发展战略和创新引领开放崛起战略，拟订全县科技发展、引进国外及国内智力规划和政策并组织实施；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2、统筹推进全县创新体系建设和科技体制改革，会同有关部门健全技术创新激励机制。优化科研体系建设，指导科研机构改革发展，推动企业科技创新能力建设，承担推进科技军民融合发展相关工作，推进全县重大科技决策咨询制度建设。拟订科学普及和科学传播规划、政策。统筹推进创新型城市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3、牵头建立统一的县级科技管理平台和科研项目资金协调、评估、监督机制。会同有关部门提出优化配置科技资源的政策措施建议，推动多元化科技投入体系建设，协调管理县级科技财政计划（专项、基金等）并监督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4、拟订全县基础研究规划、政策和标准并组织实施，组织协调县级重大基础研究和应用基础研究。拟订重大科技创新基地建设规划并监督实施，参与编制重大科技基础设施建设规划和监督实施，牵头组织县重点实验室等重大科技创新基地建设，推动科研条件保障建设和科技资源开放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5、编制县级重大科技项目计划并监督实施，统筹关键共性技术、前沿引领技术、现代工程技术、颠覆性技术研究和创新，牵头组织重大技术攻关和成果应用示范。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6、组织拟订高新技术发展及产业化、科技促进农业农村和社会发展的规划、政策和措施。组织开展重点领域技术发展需求分析，提出重大任务并监督实施。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7、牵头县级技术转移体系建设，拟订科技成果转移转化和促进产学研结合的相关政策措施并监督实施、指导科技服务业、技术市场、科技金融结合和科技中介组织发展。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8、统筹区域科技创新体系建设，指导区域创新发展、科技资源合理布局和协调创新能力建设，推动科技园区建设。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9、负责科学监督评价体系建设和相关科技评优管理，指导科技评价机制改革，统筹科研诚信建设。组织实施全县创新调查和科技报告制度，指导全县科技保密工作。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10、拟订科技对外交往与创新能力开放合作的规划、政策和措施，组织开展国际和区域科技合作与科技人才交流。指导相关部门对外科技合作与科技人才交流工作。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11、负责引进国外和国内智力工作。拟订全县重点引进国外专家总体规划、计划并组织实施，建立国外和国内顶尖科学家、团队吸引集聚机制和重点国内外专家联系服务机制。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12、会同有关部门拟订科技人才队伍建设规划和政策，建立健全科技人才评价和激励机制，组织实施科技人才计划，推动高端科技创新人才队伍建设。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13、完成县委、县政府交办的其他任务。</w:t>
      </w:r>
    </w:p>
    <w:p>
      <w:pPr>
        <w:pStyle w:val="13"/>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一般公共预算支出情况</w:t>
      </w:r>
    </w:p>
    <w:p>
      <w:pPr>
        <w:pStyle w:val="13"/>
        <w:keepNext w:val="0"/>
        <w:keepLines w:val="0"/>
        <w:pageBreakBefore w:val="0"/>
        <w:widowControl/>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b/>
          <w:bCs/>
          <w:sz w:val="30"/>
          <w:szCs w:val="30"/>
        </w:rPr>
        <w:t>一）基本支出情况</w:t>
      </w:r>
    </w:p>
    <w:p>
      <w:pPr>
        <w:pStyle w:val="13"/>
        <w:keepNext w:val="0"/>
        <w:keepLines w:val="0"/>
        <w:pageBreakBefore w:val="0"/>
        <w:widowControl/>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2020年度财政拨款基本支出211.48万元，其中：人员经费146.24万元，占基本支出的69.15%,主要包括基本工资、津贴补贴、奖金、伙食补助费、绩效工资、机关事业单位基本养老保险缴费、其他社会保障缴费、住房公积金、其他工资福利支出；公用经费65.24万元，占基本支出的30.85%，主要包括办公费、印刷费、水费、电费、邮电费、物业管理费、差旅费、培训费、公务接待费、劳务费、委托业务费、工会经费、福利费、其他交通费用、其他商品和服务支出。</w:t>
      </w:r>
    </w:p>
    <w:p>
      <w:pPr>
        <w:pStyle w:val="13"/>
        <w:keepNext w:val="0"/>
        <w:keepLines w:val="0"/>
        <w:pageBreakBefore w:val="0"/>
        <w:widowControl/>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rPr>
        <w:t>（二）项目支出情况</w:t>
      </w:r>
    </w:p>
    <w:p>
      <w:pPr>
        <w:widowControl/>
        <w:shd w:val="clear" w:color="auto" w:fill="FFFFFF"/>
        <w:spacing w:after="225" w:line="480" w:lineRule="atLeast"/>
        <w:ind w:firstLine="640" w:firstLineChars="200"/>
        <w:jc w:val="left"/>
        <w:rPr>
          <w:rFonts w:hint="eastAsia" w:ascii="仿宋" w:hAnsi="仿宋" w:eastAsia="仿宋" w:cs="仿宋"/>
          <w:color w:val="3D3D3D"/>
          <w:sz w:val="32"/>
          <w:szCs w:val="32"/>
        </w:rPr>
      </w:pPr>
      <w:r>
        <w:rPr>
          <w:rFonts w:hint="eastAsia" w:ascii="仿宋" w:hAnsi="仿宋" w:eastAsia="仿宋" w:cs="仿宋"/>
          <w:color w:val="3D3D3D"/>
          <w:kern w:val="0"/>
          <w:sz w:val="32"/>
          <w:szCs w:val="32"/>
          <w:shd w:val="clear" w:color="auto" w:fill="FFFFFF"/>
        </w:rPr>
        <w:t>2020年县科技局专项资金预算下达总计</w:t>
      </w:r>
      <w:r>
        <w:rPr>
          <w:rFonts w:hint="eastAsia" w:ascii="仿宋" w:hAnsi="仿宋" w:eastAsia="仿宋" w:cs="仿宋"/>
          <w:color w:val="3D3D3D"/>
          <w:kern w:val="0"/>
          <w:sz w:val="32"/>
          <w:szCs w:val="32"/>
          <w:shd w:val="clear" w:color="auto" w:fill="FFFFFF"/>
          <w:lang w:val="en-US" w:eastAsia="zh-CN"/>
        </w:rPr>
        <w:t>100</w:t>
      </w:r>
      <w:r>
        <w:rPr>
          <w:rFonts w:hint="eastAsia" w:ascii="仿宋" w:hAnsi="仿宋" w:eastAsia="仿宋" w:cs="仿宋"/>
          <w:color w:val="3D3D3D"/>
          <w:kern w:val="0"/>
          <w:sz w:val="32"/>
          <w:szCs w:val="32"/>
          <w:shd w:val="clear" w:color="auto" w:fill="FFFFFF"/>
        </w:rPr>
        <w:t>万元，其中：</w:t>
      </w:r>
      <w:r>
        <w:rPr>
          <w:rFonts w:hint="eastAsia" w:ascii="仿宋" w:hAnsi="仿宋" w:eastAsia="仿宋" w:cs="仿宋"/>
          <w:color w:val="3D3D3D"/>
          <w:kern w:val="0"/>
          <w:sz w:val="32"/>
          <w:szCs w:val="32"/>
          <w:shd w:val="clear" w:color="auto" w:fill="FFFFFF"/>
          <w:lang w:eastAsia="zh-CN"/>
        </w:rPr>
        <w:t>高新技术培育</w:t>
      </w:r>
      <w:r>
        <w:rPr>
          <w:rFonts w:hint="eastAsia" w:ascii="仿宋" w:hAnsi="仿宋" w:eastAsia="仿宋" w:cs="仿宋"/>
          <w:color w:val="3D3D3D"/>
          <w:kern w:val="0"/>
          <w:sz w:val="32"/>
          <w:szCs w:val="32"/>
          <w:shd w:val="clear" w:color="auto" w:fill="FFFFFF"/>
          <w:lang w:val="en-US" w:eastAsia="zh-CN"/>
        </w:rPr>
        <w:t>25万元，</w:t>
      </w:r>
      <w:r>
        <w:rPr>
          <w:rFonts w:hint="eastAsia" w:ascii="仿宋" w:hAnsi="仿宋" w:eastAsia="仿宋" w:cs="仿宋"/>
          <w:color w:val="3D3D3D"/>
          <w:kern w:val="0"/>
          <w:sz w:val="32"/>
          <w:szCs w:val="32"/>
          <w:shd w:val="clear" w:color="auto" w:fill="FFFFFF"/>
        </w:rPr>
        <w:t xml:space="preserve">科技三项费 </w:t>
      </w:r>
      <w:r>
        <w:rPr>
          <w:rFonts w:hint="eastAsia" w:ascii="仿宋" w:hAnsi="仿宋" w:eastAsia="仿宋" w:cs="仿宋"/>
          <w:color w:val="3D3D3D"/>
          <w:kern w:val="0"/>
          <w:sz w:val="32"/>
          <w:szCs w:val="32"/>
          <w:shd w:val="clear" w:color="auto" w:fill="FFFFFF"/>
          <w:lang w:val="en-US" w:eastAsia="zh-CN"/>
        </w:rPr>
        <w:t>75</w:t>
      </w:r>
      <w:r>
        <w:rPr>
          <w:rFonts w:hint="eastAsia" w:ascii="仿宋" w:hAnsi="仿宋" w:eastAsia="仿宋" w:cs="仿宋"/>
          <w:color w:val="3D3D3D"/>
          <w:kern w:val="0"/>
          <w:sz w:val="32"/>
          <w:szCs w:val="32"/>
          <w:shd w:val="clear" w:color="auto" w:fill="FFFFFF"/>
        </w:rPr>
        <w:t>万元。</w:t>
      </w:r>
    </w:p>
    <w:p>
      <w:pPr>
        <w:widowControl/>
        <w:shd w:val="clear" w:color="auto" w:fill="FFFFFF"/>
        <w:spacing w:after="225" w:line="480" w:lineRule="atLeast"/>
        <w:ind w:firstLine="480"/>
        <w:jc w:val="left"/>
        <w:rPr>
          <w:rFonts w:hint="eastAsia" w:ascii="仿宋" w:hAnsi="仿宋" w:eastAsia="仿宋" w:cs="仿宋"/>
          <w:color w:val="3D3D3D"/>
          <w:kern w:val="0"/>
          <w:sz w:val="32"/>
          <w:szCs w:val="32"/>
          <w:shd w:val="clear" w:color="auto" w:fill="FFFFFF"/>
          <w:lang w:eastAsia="zh-CN"/>
        </w:rPr>
      </w:pPr>
      <w:r>
        <w:rPr>
          <w:rFonts w:hint="eastAsia" w:ascii="仿宋" w:hAnsi="仿宋" w:eastAsia="仿宋" w:cs="仿宋"/>
          <w:color w:val="3D3D3D"/>
          <w:kern w:val="0"/>
          <w:sz w:val="32"/>
          <w:szCs w:val="32"/>
          <w:shd w:val="clear" w:color="auto" w:fill="FFFFFF"/>
        </w:rPr>
        <w:t>2020年县科技局项目支出总计163.97万元，其中：</w:t>
      </w:r>
      <w:r>
        <w:rPr>
          <w:rFonts w:hint="eastAsia" w:ascii="仿宋" w:hAnsi="仿宋" w:eastAsia="仿宋" w:cs="仿宋"/>
          <w:color w:val="3D3D3D"/>
          <w:kern w:val="0"/>
          <w:sz w:val="32"/>
          <w:szCs w:val="32"/>
          <w:shd w:val="clear" w:color="auto" w:fill="FFFFFF"/>
          <w:lang w:eastAsia="zh-CN"/>
        </w:rPr>
        <w:t>高新技术培育</w:t>
      </w:r>
      <w:r>
        <w:rPr>
          <w:rFonts w:hint="eastAsia" w:ascii="仿宋" w:hAnsi="仿宋" w:eastAsia="仿宋" w:cs="仿宋"/>
          <w:color w:val="3D3D3D"/>
          <w:kern w:val="0"/>
          <w:sz w:val="32"/>
          <w:szCs w:val="32"/>
          <w:shd w:val="clear" w:color="auto" w:fill="FFFFFF"/>
          <w:lang w:val="en-US" w:eastAsia="zh-CN"/>
        </w:rPr>
        <w:t>25万元</w:t>
      </w:r>
      <w:r>
        <w:rPr>
          <w:rFonts w:hint="eastAsia" w:ascii="仿宋" w:hAnsi="仿宋" w:eastAsia="仿宋" w:cs="仿宋"/>
          <w:color w:val="3D3D3D"/>
          <w:kern w:val="0"/>
          <w:sz w:val="32"/>
          <w:szCs w:val="32"/>
          <w:shd w:val="clear" w:color="auto" w:fill="FFFFFF"/>
        </w:rPr>
        <w:t>。科技三项费</w:t>
      </w:r>
      <w:r>
        <w:rPr>
          <w:rFonts w:hint="eastAsia" w:ascii="仿宋" w:hAnsi="仿宋" w:eastAsia="仿宋" w:cs="仿宋"/>
          <w:color w:val="3D3D3D"/>
          <w:kern w:val="0"/>
          <w:sz w:val="32"/>
          <w:szCs w:val="32"/>
          <w:shd w:val="clear" w:color="auto" w:fill="FFFFFF"/>
          <w:lang w:val="en-US" w:eastAsia="zh-CN"/>
        </w:rPr>
        <w:t>138.97</w:t>
      </w:r>
      <w:r>
        <w:rPr>
          <w:rFonts w:hint="eastAsia" w:ascii="仿宋" w:hAnsi="仿宋" w:eastAsia="仿宋" w:cs="仿宋"/>
          <w:color w:val="3D3D3D"/>
          <w:kern w:val="0"/>
          <w:sz w:val="32"/>
          <w:szCs w:val="32"/>
          <w:shd w:val="clear" w:color="auto" w:fill="FFFFFF"/>
        </w:rPr>
        <w:t>万元</w:t>
      </w:r>
      <w:r>
        <w:rPr>
          <w:rFonts w:hint="eastAsia" w:ascii="仿宋" w:hAnsi="仿宋" w:eastAsia="仿宋" w:cs="仿宋"/>
          <w:color w:val="3D3D3D"/>
          <w:kern w:val="0"/>
          <w:sz w:val="32"/>
          <w:szCs w:val="32"/>
          <w:shd w:val="clear" w:color="auto" w:fill="FFFFFF"/>
          <w:lang w:eastAsia="zh-CN"/>
        </w:rPr>
        <w:t>。</w:t>
      </w:r>
    </w:p>
    <w:p>
      <w:pPr>
        <w:widowControl/>
        <w:shd w:val="clear" w:color="auto" w:fill="FFFFFF"/>
        <w:spacing w:after="225" w:line="480" w:lineRule="atLeast"/>
        <w:ind w:firstLine="480"/>
        <w:jc w:val="left"/>
        <w:rPr>
          <w:rFonts w:hint="eastAsia" w:ascii="仿宋" w:hAnsi="仿宋" w:eastAsia="仿宋" w:cs="仿宋"/>
          <w:b/>
          <w:bCs/>
          <w:color w:val="3D3D3D"/>
          <w:kern w:val="0"/>
          <w:sz w:val="32"/>
          <w:szCs w:val="32"/>
          <w:shd w:val="clear" w:color="auto" w:fill="FFFFFF"/>
        </w:rPr>
      </w:pPr>
      <w:r>
        <w:rPr>
          <w:rFonts w:hint="eastAsia" w:ascii="仿宋" w:hAnsi="仿宋" w:eastAsia="仿宋" w:cs="仿宋"/>
          <w:b/>
          <w:bCs/>
          <w:color w:val="3D3D3D"/>
          <w:kern w:val="0"/>
          <w:sz w:val="32"/>
          <w:szCs w:val="32"/>
          <w:shd w:val="clear" w:color="auto" w:fill="FFFFFF"/>
        </w:rPr>
        <w:t>三、政府性基金预算支出情况</w:t>
      </w:r>
    </w:p>
    <w:p>
      <w:pPr>
        <w:widowControl/>
        <w:shd w:val="clear" w:color="auto" w:fill="FFFFFF"/>
        <w:spacing w:after="225" w:line="480" w:lineRule="atLeast"/>
        <w:ind w:firstLine="480"/>
        <w:jc w:val="left"/>
        <w:rPr>
          <w:rFonts w:hint="eastAsia" w:ascii="仿宋" w:hAnsi="仿宋" w:eastAsia="仿宋" w:cs="仿宋"/>
          <w:color w:val="3D3D3D"/>
          <w:kern w:val="0"/>
          <w:sz w:val="32"/>
          <w:szCs w:val="32"/>
          <w:shd w:val="clear" w:color="auto" w:fill="FFFFFF"/>
        </w:rPr>
      </w:pPr>
      <w:r>
        <w:rPr>
          <w:rFonts w:hint="eastAsia" w:ascii="仿宋" w:hAnsi="仿宋" w:eastAsia="仿宋" w:cs="仿宋"/>
          <w:color w:val="3D3D3D"/>
          <w:kern w:val="0"/>
          <w:sz w:val="32"/>
          <w:szCs w:val="32"/>
          <w:shd w:val="clear" w:color="auto" w:fill="FFFFFF"/>
        </w:rPr>
        <w:t>2020年度政府性基金预算财政拨款收入5.34万元；年初结转和结余0  万元；支出5.34万元，其中基本支出5.34万元，项目支出0万元；年末结转和结余0万元。</w:t>
      </w:r>
    </w:p>
    <w:p>
      <w:pPr>
        <w:pStyle w:val="13"/>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firstLine="301" w:firstLineChars="1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部门整体支出绩效情况</w:t>
      </w:r>
    </w:p>
    <w:p>
      <w:pPr>
        <w:pStyle w:val="14"/>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我单位按照绩效评价的相关制度规定，认真制定绩效自评方案，根据评价指标体系测算，本单位整体支出总绩效得分为9</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分。评价结果等次为“</w:t>
      </w:r>
      <w:r>
        <w:rPr>
          <w:rFonts w:hint="eastAsia" w:ascii="仿宋" w:hAnsi="仿宋" w:eastAsia="仿宋" w:cs="仿宋"/>
          <w:color w:val="000000"/>
          <w:sz w:val="30"/>
          <w:szCs w:val="30"/>
          <w:lang w:eastAsia="zh-CN"/>
        </w:rPr>
        <w:t>良</w:t>
      </w:r>
      <w:r>
        <w:rPr>
          <w:rFonts w:hint="eastAsia" w:ascii="仿宋" w:hAnsi="仿宋" w:eastAsia="仿宋" w:cs="仿宋"/>
          <w:color w:val="000000"/>
          <w:sz w:val="30"/>
          <w:szCs w:val="30"/>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、目标设定、预算配制情况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w:t>
      </w:r>
      <w:r>
        <w:rPr>
          <w:rFonts w:hint="eastAsia" w:ascii="仿宋" w:hAnsi="仿宋" w:eastAsia="仿宋" w:cs="仿宋"/>
          <w:b w:val="0"/>
          <w:bCs w:val="0"/>
          <w:i w:val="0"/>
          <w:iCs w:val="0"/>
          <w:color w:val="000000"/>
          <w:kern w:val="0"/>
          <w:sz w:val="30"/>
          <w:szCs w:val="30"/>
          <w:lang w:val="en-US" w:eastAsia="zh-CN" w:bidi="ar-SA"/>
        </w:rPr>
        <w:t>2020年支出绩效目标</w:t>
      </w:r>
      <w:r>
        <w:rPr>
          <w:rFonts w:hint="eastAsia" w:ascii="仿宋" w:hAnsi="仿宋" w:eastAsia="仿宋" w:cs="仿宋"/>
          <w:color w:val="000000"/>
          <w:kern w:val="0"/>
          <w:sz w:val="30"/>
          <w:szCs w:val="30"/>
          <w:lang w:val="en-US" w:eastAsia="zh-CN" w:bidi="ar-SA"/>
        </w:rPr>
        <w:t>设定：1、加强习近平新时代中国特色社会主义思想和党的十九大精神学习，做政治上的明白人。以习近平新时代中国特色社会主义思想为指导，深入贯彻落实党的十九大精神，全力增强抓好机关党建工作和服务县域“双创”工作。争取在科技管理工作中有作为、在落实党建中有力量、在深化自身改革中求突破、在依法行政中贡献科技创新的优质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以项目的管理和服务为抓手，创新科技发展环境。在省市科技项目的申报上认真吃透项目政策和指南，积极对接上级各个业务部门，以申促建，做实县本级科技项目，坚持科技服务经济，坚持创新创业，按照公平公正公开的原则把项目落细落实落好；指导和协助生态产业园申报省级农业科技园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3、以平台建设为载体，扎实做好科技人才的服务工作。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根据科技特派员、“三区”科技人才、县内产学研和科技信息网络工作的实际，规范产学研活动的组织，争取大专院校、科研院所来辰溪设立科教基地，使各级各类科技人才发挥好他们的聪明才智，让我县经济发展真正得到科技创新的实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4、以加强机关内部管理为突破口，自觉接受方方面面的领导和监督。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b w:val="0"/>
          <w:bCs w:val="0"/>
          <w:i w:val="0"/>
          <w:iCs w:val="0"/>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在脱贫攻坚、文明创建、综治维稳、安全生产、行政执法、计划生育、小康综合绩效考核等各个方面都能尽职尽责。主动向县委、县人大、县政府、县政协和省市科技主管部门汇报工作。主动地接受各个方面的监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color w:val="000000"/>
          <w:kern w:val="0"/>
          <w:sz w:val="30"/>
          <w:szCs w:val="30"/>
          <w:lang w:val="en-US" w:eastAsia="zh-CN" w:bidi="ar-SA"/>
        </w:rPr>
        <w:t>2、2020年</w:t>
      </w:r>
      <w:r>
        <w:rPr>
          <w:rFonts w:hint="eastAsia" w:ascii="仿宋" w:hAnsi="仿宋" w:eastAsia="仿宋" w:cs="仿宋"/>
          <w:color w:val="000000"/>
          <w:kern w:val="0"/>
          <w:sz w:val="30"/>
          <w:szCs w:val="30"/>
        </w:rPr>
        <w:t>预算配制情况</w:t>
      </w: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20</w:t>
      </w:r>
      <w:r>
        <w:rPr>
          <w:rFonts w:hint="eastAsia" w:ascii="仿宋" w:hAnsi="仿宋" w:eastAsia="仿宋" w:cs="仿宋"/>
          <w:color w:val="000000"/>
          <w:sz w:val="30"/>
          <w:szCs w:val="30"/>
        </w:rPr>
        <w:t>年在职人员控制率和“三公经费”变动率都</w:t>
      </w:r>
      <w:r>
        <w:rPr>
          <w:rFonts w:hint="eastAsia" w:ascii="仿宋" w:hAnsi="仿宋" w:eastAsia="仿宋" w:cs="仿宋"/>
          <w:color w:val="000000"/>
          <w:sz w:val="30"/>
          <w:szCs w:val="30"/>
          <w:lang w:eastAsia="zh-CN"/>
        </w:rPr>
        <w:t>严格按规定执行。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（二）、部门预算执行过程</w:t>
      </w:r>
    </w:p>
    <w:p>
      <w:pPr>
        <w:pStyle w:val="14"/>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 w:val="0"/>
          <w:bCs w:val="0"/>
          <w:i w:val="0"/>
          <w:iCs w:val="0"/>
          <w:color w:val="000000"/>
          <w:kern w:val="0"/>
          <w:sz w:val="30"/>
          <w:szCs w:val="30"/>
          <w:lang w:val="en-US" w:eastAsia="zh-CN" w:bidi="ar-SA"/>
        </w:rPr>
      </w:pPr>
      <w:r>
        <w:rPr>
          <w:rFonts w:hint="eastAsia" w:ascii="仿宋" w:hAnsi="仿宋" w:eastAsia="仿宋" w:cs="仿宋"/>
          <w:color w:val="000000"/>
          <w:sz w:val="30"/>
          <w:szCs w:val="30"/>
          <w:lang w:val="en-US" w:eastAsia="zh-CN"/>
        </w:rPr>
        <w:t>1、</w:t>
      </w:r>
      <w:r>
        <w:rPr>
          <w:rFonts w:hint="eastAsia" w:ascii="仿宋" w:hAnsi="仿宋" w:eastAsia="仿宋" w:cs="仿宋"/>
          <w:color w:val="000000"/>
          <w:kern w:val="0"/>
          <w:sz w:val="30"/>
          <w:szCs w:val="30"/>
        </w:rPr>
        <w:t>预算执行</w:t>
      </w:r>
    </w:p>
    <w:p>
      <w:pPr>
        <w:pStyle w:val="14"/>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部门预算管理情况</w:t>
      </w:r>
    </w:p>
    <w:p>
      <w:pPr>
        <w:pStyle w:val="14"/>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本部门</w:t>
      </w:r>
      <w:r>
        <w:rPr>
          <w:rFonts w:hint="eastAsia" w:ascii="仿宋" w:hAnsi="仿宋" w:eastAsia="仿宋" w:cs="仿宋"/>
          <w:color w:val="000000"/>
          <w:sz w:val="30"/>
          <w:szCs w:val="30"/>
        </w:rPr>
        <w:t>管理制度健全性方面有</w:t>
      </w:r>
      <w:r>
        <w:rPr>
          <w:rFonts w:hint="eastAsia" w:ascii="仿宋" w:hAnsi="仿宋" w:eastAsia="仿宋" w:cs="仿宋"/>
          <w:color w:val="000000"/>
          <w:sz w:val="30"/>
          <w:szCs w:val="30"/>
          <w:lang w:eastAsia="zh-CN"/>
        </w:rPr>
        <w:t>财政部门管理制度、</w:t>
      </w:r>
      <w:r>
        <w:rPr>
          <w:rFonts w:hint="eastAsia" w:ascii="仿宋" w:hAnsi="仿宋" w:eastAsia="仿宋" w:cs="仿宋"/>
          <w:color w:val="000000"/>
          <w:sz w:val="30"/>
          <w:szCs w:val="30"/>
        </w:rPr>
        <w:t>单位财务管理制度等有关制度、</w:t>
      </w:r>
      <w:r>
        <w:rPr>
          <w:rFonts w:hint="eastAsia" w:ascii="仿宋" w:hAnsi="仿宋" w:eastAsia="仿宋" w:cs="仿宋"/>
          <w:color w:val="000000"/>
          <w:sz w:val="30"/>
          <w:szCs w:val="30"/>
          <w:lang w:eastAsia="zh-CN"/>
        </w:rPr>
        <w:t>相关</w:t>
      </w:r>
      <w:r>
        <w:rPr>
          <w:rFonts w:hint="eastAsia" w:ascii="仿宋" w:hAnsi="仿宋" w:eastAsia="仿宋" w:cs="仿宋"/>
          <w:color w:val="000000"/>
          <w:sz w:val="30"/>
          <w:szCs w:val="30"/>
        </w:rPr>
        <w:t>制度得到有效执行</w:t>
      </w:r>
      <w:r>
        <w:rPr>
          <w:rFonts w:hint="eastAsia" w:ascii="仿宋" w:hAnsi="仿宋" w:eastAsia="仿宋" w:cs="仿宋"/>
          <w:color w:val="000000"/>
          <w:sz w:val="30"/>
          <w:szCs w:val="30"/>
          <w:lang w:eastAsia="zh-CN"/>
        </w:rPr>
        <w:t>，资金使用合规，按要求按时预决算信息公开。</w:t>
      </w:r>
      <w:r>
        <w:rPr>
          <w:rFonts w:hint="eastAsia" w:ascii="仿宋" w:hAnsi="仿宋" w:eastAsia="仿宋" w:cs="仿宋"/>
          <w:color w:val="000000"/>
          <w:sz w:val="30"/>
          <w:szCs w:val="30"/>
        </w:rPr>
        <w:t>根据评分标准，该项指标</w:t>
      </w:r>
      <w:r>
        <w:rPr>
          <w:rFonts w:hint="eastAsia" w:ascii="仿宋" w:hAnsi="仿宋" w:eastAsia="仿宋" w:cs="仿宋"/>
          <w:color w:val="000000"/>
          <w:sz w:val="30"/>
          <w:szCs w:val="30"/>
          <w:lang w:val="en-US" w:eastAsia="zh-CN"/>
        </w:rPr>
        <w:t>为满分</w:t>
      </w:r>
      <w:r>
        <w:rPr>
          <w:rFonts w:hint="eastAsia" w:ascii="仿宋" w:hAnsi="仿宋" w:eastAsia="仿宋" w:cs="仿宋"/>
          <w:color w:val="00000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部门</w:t>
      </w:r>
      <w:r>
        <w:rPr>
          <w:rFonts w:hint="eastAsia" w:ascii="仿宋" w:hAnsi="仿宋" w:eastAsia="仿宋" w:cs="仿宋"/>
          <w:color w:val="000000"/>
          <w:kern w:val="0"/>
          <w:sz w:val="30"/>
          <w:szCs w:val="30"/>
          <w:lang w:eastAsia="zh-CN"/>
        </w:rPr>
        <w:t>资产</w:t>
      </w:r>
      <w:r>
        <w:rPr>
          <w:rFonts w:hint="eastAsia" w:ascii="仿宋" w:hAnsi="仿宋" w:eastAsia="仿宋" w:cs="仿宋"/>
          <w:color w:val="000000"/>
          <w:kern w:val="0"/>
          <w:sz w:val="30"/>
          <w:szCs w:val="30"/>
        </w:rPr>
        <w:t>管理情况</w:t>
      </w:r>
    </w:p>
    <w:p>
      <w:pPr>
        <w:pStyle w:val="14"/>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sz w:val="30"/>
          <w:szCs w:val="30"/>
          <w:lang w:eastAsia="zh-CN"/>
        </w:rPr>
        <w:t>本部门建有资产</w:t>
      </w:r>
      <w:r>
        <w:rPr>
          <w:rFonts w:hint="eastAsia" w:ascii="仿宋" w:hAnsi="仿宋" w:eastAsia="仿宋" w:cs="仿宋"/>
          <w:color w:val="000000"/>
          <w:sz w:val="30"/>
          <w:szCs w:val="30"/>
        </w:rPr>
        <w:t>管理制度健全</w:t>
      </w:r>
      <w:r>
        <w:rPr>
          <w:rFonts w:hint="eastAsia" w:ascii="仿宋" w:hAnsi="仿宋" w:eastAsia="仿宋" w:cs="仿宋"/>
          <w:color w:val="000000"/>
          <w:sz w:val="30"/>
          <w:szCs w:val="30"/>
          <w:lang w:eastAsia="zh-CN"/>
        </w:rPr>
        <w:t>，专人</w:t>
      </w:r>
      <w:r>
        <w:rPr>
          <w:rFonts w:hint="eastAsia" w:ascii="仿宋" w:hAnsi="仿宋" w:eastAsia="仿宋" w:cs="仿宋"/>
          <w:color w:val="000000"/>
          <w:sz w:val="30"/>
          <w:szCs w:val="30"/>
        </w:rPr>
        <w:t>管理、</w:t>
      </w:r>
      <w:r>
        <w:rPr>
          <w:rFonts w:hint="eastAsia" w:ascii="仿宋" w:hAnsi="仿宋" w:eastAsia="仿宋" w:cs="仿宋"/>
          <w:color w:val="000000"/>
          <w:sz w:val="30"/>
          <w:szCs w:val="30"/>
          <w:lang w:eastAsia="zh-CN"/>
        </w:rPr>
        <w:t>部门资产使用</w:t>
      </w:r>
      <w:r>
        <w:rPr>
          <w:rFonts w:hint="eastAsia" w:ascii="仿宋" w:hAnsi="仿宋" w:eastAsia="仿宋" w:cs="仿宋"/>
          <w:color w:val="000000"/>
          <w:sz w:val="30"/>
          <w:szCs w:val="30"/>
        </w:rPr>
        <w:t>规范</w:t>
      </w:r>
      <w:r>
        <w:rPr>
          <w:rFonts w:hint="eastAsia" w:ascii="仿宋" w:hAnsi="仿宋" w:eastAsia="仿宋" w:cs="仿宋"/>
          <w:color w:val="000000"/>
          <w:sz w:val="30"/>
          <w:szCs w:val="30"/>
          <w:lang w:eastAsia="zh-CN"/>
        </w:rPr>
        <w:t>、配置合理，处置规范。</w:t>
      </w:r>
      <w:r>
        <w:rPr>
          <w:rFonts w:hint="eastAsia" w:ascii="仿宋" w:hAnsi="仿宋" w:eastAsia="仿宋" w:cs="仿宋"/>
          <w:color w:val="000000"/>
          <w:sz w:val="30"/>
          <w:szCs w:val="30"/>
        </w:rPr>
        <w:t>根据评分标准，该项指标</w:t>
      </w:r>
      <w:r>
        <w:rPr>
          <w:rFonts w:hint="eastAsia" w:ascii="仿宋" w:hAnsi="仿宋" w:eastAsia="仿宋" w:cs="仿宋"/>
          <w:color w:val="000000"/>
          <w:sz w:val="30"/>
          <w:szCs w:val="30"/>
          <w:lang w:val="en-US" w:eastAsia="zh-CN"/>
        </w:rPr>
        <w:t>为满分</w:t>
      </w:r>
      <w:r>
        <w:rPr>
          <w:rFonts w:hint="eastAsia" w:ascii="仿宋" w:hAnsi="仿宋" w:eastAsia="仿宋" w:cs="仿宋"/>
          <w:color w:val="000000"/>
          <w:sz w:val="30"/>
          <w:szCs w:val="30"/>
        </w:rPr>
        <w:t>。</w:t>
      </w:r>
    </w:p>
    <w:p>
      <w:pPr>
        <w:keepNext w:val="0"/>
        <w:keepLines w:val="0"/>
        <w:pageBreakBefore w:val="0"/>
        <w:widowControl/>
        <w:numPr>
          <w:ilvl w:val="0"/>
          <w:numId w:val="0"/>
        </w:numPr>
        <w:shd w:val="clear" w:color="auto" w:fill="FFFFFF"/>
        <w:tabs>
          <w:tab w:val="right" w:pos="7704"/>
        </w:tabs>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 xml:space="preserve">（三）、部门职责履行 </w:t>
      </w:r>
    </w:p>
    <w:p>
      <w:pPr>
        <w:pStyle w:val="14"/>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通过</w:t>
      </w:r>
      <w:r>
        <w:rPr>
          <w:rFonts w:hint="eastAsia" w:ascii="仿宋" w:hAnsi="仿宋" w:eastAsia="仿宋" w:cs="仿宋"/>
          <w:color w:val="000000"/>
          <w:sz w:val="30"/>
          <w:szCs w:val="30"/>
          <w:lang w:eastAsia="zh-CN"/>
        </w:rPr>
        <w:t>严格执行制定的精细化管理细则</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截止</w:t>
      </w:r>
      <w:r>
        <w:rPr>
          <w:rFonts w:hint="eastAsia" w:ascii="仿宋" w:hAnsi="仿宋" w:eastAsia="仿宋" w:cs="仿宋"/>
          <w:color w:val="000000"/>
          <w:sz w:val="30"/>
          <w:szCs w:val="30"/>
          <w:lang w:val="en-US" w:eastAsia="zh-CN"/>
        </w:rPr>
        <w:t>2020年底累计</w:t>
      </w:r>
      <w:r>
        <w:rPr>
          <w:rFonts w:hint="eastAsia" w:ascii="仿宋" w:hAnsi="仿宋" w:eastAsia="仿宋" w:cs="仿宋"/>
          <w:color w:val="000000"/>
          <w:sz w:val="30"/>
          <w:szCs w:val="30"/>
          <w:lang w:eastAsia="zh-CN"/>
        </w:rPr>
        <w:t>完成高新技术认定</w:t>
      </w:r>
      <w:r>
        <w:rPr>
          <w:rFonts w:hint="eastAsia" w:ascii="仿宋" w:hAnsi="仿宋" w:eastAsia="仿宋" w:cs="仿宋"/>
          <w:color w:val="000000"/>
          <w:sz w:val="30"/>
          <w:szCs w:val="30"/>
          <w:lang w:val="en-US" w:eastAsia="zh-CN"/>
        </w:rPr>
        <w:t>27家，完成省、市、县级项目申报51项。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（四）、履职效益情况</w:t>
      </w:r>
    </w:p>
    <w:p>
      <w:pPr>
        <w:pStyle w:val="14"/>
        <w:keepNext w:val="0"/>
        <w:keepLines w:val="0"/>
        <w:pageBreakBefore w:val="0"/>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sz w:val="30"/>
          <w:szCs w:val="30"/>
        </w:rPr>
      </w:pPr>
      <w:r>
        <w:rPr>
          <w:rFonts w:hint="eastAsia" w:ascii="仿宋" w:hAnsi="仿宋" w:eastAsia="仿宋" w:cs="仿宋"/>
          <w:b/>
          <w:color w:val="000000"/>
          <w:kern w:val="0"/>
          <w:sz w:val="30"/>
          <w:szCs w:val="30"/>
          <w:lang w:val="en-US" w:eastAsia="zh-CN"/>
        </w:rPr>
        <w:t>1、</w:t>
      </w:r>
      <w:r>
        <w:rPr>
          <w:rFonts w:hint="eastAsia" w:ascii="仿宋" w:hAnsi="仿宋" w:eastAsia="仿宋" w:cs="仿宋"/>
          <w:b/>
          <w:color w:val="000000"/>
          <w:kern w:val="0"/>
          <w:sz w:val="30"/>
          <w:szCs w:val="30"/>
        </w:rPr>
        <w:t>经济效益</w:t>
      </w:r>
      <w:r>
        <w:rPr>
          <w:rFonts w:hint="eastAsia" w:ascii="仿宋" w:hAnsi="仿宋" w:eastAsia="仿宋" w:cs="仿宋"/>
          <w:b/>
          <w:color w:val="000000"/>
          <w:kern w:val="0"/>
          <w:sz w:val="30"/>
          <w:szCs w:val="30"/>
          <w:lang w:eastAsia="zh-CN"/>
        </w:rPr>
        <w:t>：</w:t>
      </w:r>
      <w:r>
        <w:rPr>
          <w:rFonts w:hint="eastAsia" w:ascii="仿宋" w:hAnsi="仿宋" w:eastAsia="仿宋" w:cs="仿宋"/>
          <w:color w:val="000000"/>
          <w:sz w:val="30"/>
          <w:szCs w:val="30"/>
        </w:rPr>
        <w:t>通过不断改善</w:t>
      </w:r>
      <w:r>
        <w:rPr>
          <w:rFonts w:hint="eastAsia" w:ascii="仿宋" w:hAnsi="仿宋" w:eastAsia="仿宋" w:cs="仿宋"/>
          <w:color w:val="000000"/>
          <w:sz w:val="30"/>
          <w:szCs w:val="30"/>
          <w:lang w:eastAsia="zh-CN"/>
        </w:rPr>
        <w:t>并</w:t>
      </w:r>
      <w:r>
        <w:rPr>
          <w:rFonts w:hint="eastAsia" w:ascii="仿宋" w:hAnsi="仿宋" w:eastAsia="仿宋" w:cs="仿宋"/>
          <w:color w:val="000000"/>
          <w:sz w:val="30"/>
          <w:szCs w:val="30"/>
        </w:rPr>
        <w:t>加强制度体系建设，严格资产管理和经费使用，</w:t>
      </w:r>
      <w:r>
        <w:rPr>
          <w:rFonts w:hint="eastAsia" w:ascii="仿宋" w:hAnsi="仿宋" w:eastAsia="仿宋" w:cs="仿宋"/>
          <w:color w:val="000000"/>
          <w:sz w:val="30"/>
          <w:szCs w:val="30"/>
          <w:lang w:eastAsia="zh-CN"/>
        </w:rPr>
        <w:t>提高资金使用</w:t>
      </w:r>
      <w:r>
        <w:rPr>
          <w:rFonts w:hint="eastAsia" w:ascii="仿宋" w:hAnsi="仿宋" w:eastAsia="仿宋" w:cs="仿宋"/>
          <w:color w:val="000000"/>
          <w:sz w:val="30"/>
          <w:szCs w:val="30"/>
        </w:rPr>
        <w:t>效率，成本进一步降低。</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lang w:val="en-US" w:eastAsia="zh-CN"/>
        </w:rPr>
        <w:t>2、社会效应</w:t>
      </w:r>
      <w:r>
        <w:rPr>
          <w:rFonts w:hint="eastAsia" w:ascii="仿宋" w:hAnsi="仿宋" w:eastAsia="仿宋" w:cs="仿宋"/>
          <w:b/>
          <w:color w:val="000000"/>
          <w:kern w:val="0"/>
          <w:sz w:val="30"/>
          <w:szCs w:val="30"/>
          <w:lang w:eastAsia="zh-CN"/>
        </w:rPr>
        <w:t>：</w:t>
      </w:r>
      <w:r>
        <w:rPr>
          <w:rFonts w:hint="eastAsia" w:ascii="仿宋" w:hAnsi="仿宋" w:eastAsia="仿宋" w:cs="仿宋"/>
          <w:color w:val="000000"/>
          <w:kern w:val="0"/>
          <w:sz w:val="30"/>
          <w:szCs w:val="30"/>
          <w:lang w:eastAsia="zh-CN"/>
        </w:rPr>
        <w:t>把握科技发展的新形势,及时掌握科技动态,立足于掌握竞争信息的主动权,为企业发展提供指导、帮助和服务,效益明显。</w:t>
      </w:r>
      <w:r>
        <w:rPr>
          <w:rFonts w:hint="eastAsia" w:ascii="仿宋" w:hAnsi="仿宋" w:eastAsia="仿宋" w:cs="仿宋"/>
          <w:color w:val="000000"/>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b/>
          <w:color w:val="000000"/>
          <w:kern w:val="0"/>
          <w:sz w:val="30"/>
          <w:szCs w:val="30"/>
          <w:lang w:val="en-US" w:eastAsia="zh-CN"/>
        </w:rPr>
        <w:t>3、生态效应：</w:t>
      </w:r>
      <w:r>
        <w:rPr>
          <w:rFonts w:hint="eastAsia" w:ascii="仿宋" w:hAnsi="仿宋" w:eastAsia="仿宋" w:cs="仿宋"/>
          <w:color w:val="000000"/>
          <w:kern w:val="0"/>
          <w:sz w:val="30"/>
          <w:szCs w:val="30"/>
          <w:lang w:val="en-US" w:eastAsia="zh-CN"/>
        </w:rPr>
        <w:t>环境效益:所指导服务的企业、产业实现低碳、环保、绿色、安全发展等达标。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2"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b/>
          <w:color w:val="000000"/>
          <w:kern w:val="0"/>
          <w:sz w:val="30"/>
          <w:szCs w:val="30"/>
          <w:lang w:val="en-US" w:eastAsia="zh-CN"/>
        </w:rPr>
        <w:t>4、</w:t>
      </w:r>
      <w:r>
        <w:rPr>
          <w:rFonts w:hint="eastAsia" w:ascii="仿宋" w:hAnsi="仿宋" w:eastAsia="仿宋" w:cs="仿宋"/>
          <w:b/>
          <w:color w:val="000000"/>
          <w:kern w:val="0"/>
          <w:sz w:val="30"/>
          <w:szCs w:val="30"/>
        </w:rPr>
        <w:t>社会公众</w:t>
      </w:r>
      <w:r>
        <w:rPr>
          <w:rFonts w:hint="eastAsia" w:ascii="仿宋" w:hAnsi="仿宋" w:eastAsia="仿宋" w:cs="仿宋"/>
          <w:b/>
          <w:color w:val="000000"/>
          <w:kern w:val="0"/>
          <w:sz w:val="30"/>
          <w:szCs w:val="30"/>
          <w:lang w:eastAsia="zh-CN"/>
        </w:rPr>
        <w:t>或服务对象</w:t>
      </w:r>
      <w:r>
        <w:rPr>
          <w:rFonts w:hint="eastAsia" w:ascii="仿宋" w:hAnsi="仿宋" w:eastAsia="仿宋" w:cs="仿宋"/>
          <w:b/>
          <w:color w:val="000000"/>
          <w:kern w:val="0"/>
          <w:sz w:val="30"/>
          <w:szCs w:val="30"/>
        </w:rPr>
        <w:t>满意度</w:t>
      </w:r>
      <w:r>
        <w:rPr>
          <w:rFonts w:hint="eastAsia" w:ascii="仿宋" w:hAnsi="仿宋" w:eastAsia="仿宋" w:cs="仿宋"/>
          <w:b/>
          <w:color w:val="000000"/>
          <w:kern w:val="0"/>
          <w:sz w:val="30"/>
          <w:szCs w:val="30"/>
          <w:lang w:eastAsia="zh-CN"/>
        </w:rPr>
        <w:t>：</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20</w:t>
      </w:r>
      <w:r>
        <w:rPr>
          <w:rFonts w:hint="eastAsia" w:ascii="仿宋" w:hAnsi="仿宋" w:eastAsia="仿宋" w:cs="仿宋"/>
          <w:color w:val="000000"/>
          <w:kern w:val="0"/>
          <w:sz w:val="30"/>
          <w:szCs w:val="30"/>
        </w:rPr>
        <w:t>年，</w:t>
      </w:r>
      <w:r>
        <w:rPr>
          <w:rFonts w:hint="eastAsia" w:ascii="仿宋" w:hAnsi="仿宋" w:eastAsia="仿宋" w:cs="仿宋"/>
          <w:color w:val="000000"/>
          <w:sz w:val="30"/>
          <w:szCs w:val="30"/>
        </w:rPr>
        <w:t>通过强化长效管理机制，</w:t>
      </w:r>
      <w:r>
        <w:rPr>
          <w:rFonts w:hint="eastAsia" w:ascii="仿宋" w:hAnsi="仿宋" w:eastAsia="仿宋" w:cs="仿宋"/>
          <w:color w:val="000000"/>
          <w:sz w:val="30"/>
          <w:szCs w:val="30"/>
          <w:lang w:eastAsia="zh-CN"/>
        </w:rPr>
        <w:t>项目</w:t>
      </w:r>
      <w:r>
        <w:rPr>
          <w:rFonts w:hint="eastAsia" w:ascii="仿宋" w:hAnsi="仿宋" w:eastAsia="仿宋" w:cs="仿宋"/>
          <w:color w:val="000000"/>
          <w:sz w:val="30"/>
          <w:szCs w:val="30"/>
        </w:rPr>
        <w:t>制度化，</w:t>
      </w:r>
      <w:r>
        <w:rPr>
          <w:rFonts w:hint="eastAsia" w:ascii="仿宋" w:hAnsi="仿宋" w:eastAsia="仿宋" w:cs="仿宋"/>
          <w:color w:val="000000"/>
          <w:sz w:val="30"/>
          <w:szCs w:val="30"/>
          <w:lang w:eastAsia="zh-CN"/>
        </w:rPr>
        <w:t>虽取得一定成绩，但仍无法满足企业对科技投入的需求，故满意度无法达到</w:t>
      </w:r>
      <w:r>
        <w:rPr>
          <w:rFonts w:hint="eastAsia" w:ascii="仿宋" w:hAnsi="仿宋" w:eastAsia="仿宋" w:cs="仿宋"/>
          <w:color w:val="000000"/>
          <w:sz w:val="30"/>
          <w:szCs w:val="30"/>
          <w:lang w:val="en-US" w:eastAsia="zh-CN"/>
        </w:rPr>
        <w:t>100%。</w:t>
      </w:r>
    </w:p>
    <w:p>
      <w:pPr>
        <w:pStyle w:val="13"/>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存在的问题及原因分析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预算编制工作有待细化。预算编制不够明确和细化，预算编制的合理性需要提高，预算执行力度还要进一步加强。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绩效目标设立不够</w:t>
      </w:r>
      <w:r>
        <w:rPr>
          <w:rFonts w:hint="eastAsia" w:ascii="仿宋" w:hAnsi="仿宋" w:eastAsia="仿宋" w:cs="仿宋"/>
          <w:sz w:val="30"/>
          <w:szCs w:val="30"/>
          <w:lang w:val="en-US" w:eastAsia="zh-CN"/>
        </w:rPr>
        <w:t>完善</w:t>
      </w:r>
      <w:r>
        <w:rPr>
          <w:rFonts w:hint="eastAsia" w:ascii="仿宋" w:hAnsi="仿宋" w:eastAsia="仿宋" w:cs="仿宋"/>
          <w:sz w:val="30"/>
          <w:szCs w:val="30"/>
        </w:rPr>
        <w:t>、</w:t>
      </w:r>
      <w:r>
        <w:rPr>
          <w:rFonts w:hint="eastAsia" w:ascii="仿宋" w:hAnsi="仿宋" w:eastAsia="仿宋" w:cs="仿宋"/>
          <w:sz w:val="30"/>
          <w:szCs w:val="30"/>
          <w:lang w:eastAsia="zh-CN"/>
        </w:rPr>
        <w:t>待做好</w:t>
      </w:r>
      <w:r>
        <w:rPr>
          <w:rFonts w:hint="eastAsia" w:ascii="仿宋" w:hAnsi="仿宋" w:eastAsia="仿宋" w:cs="仿宋"/>
          <w:sz w:val="30"/>
          <w:szCs w:val="30"/>
        </w:rPr>
        <w:t>细化和量化</w:t>
      </w:r>
      <w:r>
        <w:rPr>
          <w:rFonts w:hint="eastAsia" w:ascii="仿宋" w:hAnsi="仿宋" w:eastAsia="仿宋" w:cs="仿宋"/>
          <w:sz w:val="30"/>
          <w:szCs w:val="30"/>
          <w:lang w:eastAsia="zh-CN"/>
        </w:rPr>
        <w:t>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公用经费和三公经费控制有一定难度，基本为刚性支出。</w:t>
      </w:r>
    </w:p>
    <w:p>
      <w:pPr>
        <w:pStyle w:val="13"/>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下一步改进措施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4、对相关人员加强培训，特别是针对《预算法》《行政事业单位会计制度》等学习培训，规范部门预算收支核算，切实提高部门预算收支管理水平。</w:t>
      </w:r>
    </w:p>
    <w:p>
      <w:pPr>
        <w:pStyle w:val="13"/>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其他需要说明的情况</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无</w:t>
      </w:r>
    </w:p>
    <w:p>
      <w:pPr>
        <w:keepNext w:val="0"/>
        <w:keepLines w:val="0"/>
        <w:pageBreakBefore w:val="0"/>
        <w:widowControl/>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0" w:firstLineChars="16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辰溪县科学技术局</w:t>
      </w:r>
    </w:p>
    <w:p>
      <w:pPr>
        <w:keepNext w:val="0"/>
        <w:keepLines w:val="0"/>
        <w:pageBreakBefore w:val="0"/>
        <w:widowControl/>
        <w:kinsoku/>
        <w:wordWrap/>
        <w:overflowPunct/>
        <w:topLinePunct w:val="0"/>
        <w:autoSpaceDE/>
        <w:autoSpaceDN/>
        <w:bidi w:val="0"/>
        <w:adjustRightInd/>
        <w:snapToGrid/>
        <w:spacing w:line="500" w:lineRule="exact"/>
        <w:ind w:firstLine="5100" w:firstLineChars="17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2021年9月8日</w:t>
      </w: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eastAsia="黑体"/>
          <w:sz w:val="32"/>
          <w:szCs w:val="32"/>
        </w:rPr>
      </w:pPr>
      <w:r>
        <w:rPr>
          <w:rFonts w:hint="eastAsia" w:eastAsia="黑体"/>
          <w:sz w:val="32"/>
          <w:szCs w:val="32"/>
        </w:rPr>
        <w:t>附件</w:t>
      </w:r>
      <w:r>
        <w:rPr>
          <w:rFonts w:eastAsia="黑体"/>
          <w:sz w:val="32"/>
          <w:szCs w:val="32"/>
        </w:rPr>
        <w:t>4-1</w:t>
      </w:r>
    </w:p>
    <w:p>
      <w:pPr>
        <w:spacing w:line="400" w:lineRule="exact"/>
        <w:rPr>
          <w:rFonts w:eastAsia="黑体"/>
          <w:sz w:val="32"/>
          <w:szCs w:val="32"/>
        </w:rPr>
      </w:pPr>
    </w:p>
    <w:p>
      <w:pPr>
        <w:spacing w:afterLines="50" w:line="400" w:lineRule="exact"/>
        <w:jc w:val="center"/>
        <w:rPr>
          <w:rFonts w:eastAsia="方正小标宋_GBK"/>
          <w:bCs/>
          <w:sz w:val="36"/>
          <w:szCs w:val="36"/>
        </w:rPr>
      </w:pPr>
      <w:r>
        <w:rPr>
          <w:rFonts w:hint="eastAsia" w:eastAsia="方正小标宋_GBK"/>
          <w:bCs/>
          <w:sz w:val="36"/>
          <w:szCs w:val="36"/>
        </w:rPr>
        <w:t>预算支出绩效评价共性指标体系框架</w:t>
      </w:r>
    </w:p>
    <w:tbl>
      <w:tblPr>
        <w:tblStyle w:val="6"/>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指标说明</w:t>
            </w:r>
          </w:p>
        </w:tc>
        <w:tc>
          <w:tcPr>
            <w:tcW w:w="954" w:type="dxa"/>
            <w:vAlign w:val="center"/>
          </w:tcPr>
          <w:p>
            <w:pPr>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决</w:t>
            </w:r>
          </w:p>
          <w:p>
            <w:pPr>
              <w:jc w:val="center"/>
              <w:rPr>
                <w:rFonts w:ascii="仿宋_GB2312" w:eastAsia="仿宋_GB2312"/>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预算支出决策</w:t>
            </w:r>
          </w:p>
          <w:p>
            <w:pPr>
              <w:jc w:val="center"/>
              <w:rPr>
                <w:rFonts w:ascii="仿宋_GB2312" w:eastAsia="仿宋_GB2312"/>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预算支出决策（项目立项）依据</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决策（立项）程序规范性</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13"/>
              <w:numPr>
                <w:ilvl w:val="0"/>
                <w:numId w:val="3"/>
              </w:numPr>
              <w:spacing w:line="260" w:lineRule="exact"/>
              <w:ind w:firstLineChars="0"/>
              <w:rPr>
                <w:rFonts w:ascii="仿宋_GB2312" w:eastAsia="仿宋_GB2312"/>
                <w:szCs w:val="21"/>
              </w:rPr>
            </w:pPr>
            <w:r>
              <w:rPr>
                <w:rFonts w:hint="eastAsia" w:ascii="仿宋_GB2312" w:eastAsia="仿宋_GB2312"/>
                <w:szCs w:val="21"/>
              </w:rPr>
              <w:t>预算支出是否按照规定的程序申请设立；</w:t>
            </w:r>
          </w:p>
          <w:p>
            <w:pPr>
              <w:pStyle w:val="13"/>
              <w:numPr>
                <w:ilvl w:val="0"/>
                <w:numId w:val="3"/>
              </w:numPr>
              <w:spacing w:line="260" w:lineRule="exact"/>
              <w:ind w:firstLineChars="0"/>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绩效</w:t>
            </w:r>
          </w:p>
          <w:p>
            <w:pPr>
              <w:jc w:val="center"/>
              <w:rPr>
                <w:rFonts w:ascii="仿宋_GB2312" w:eastAsia="仿宋_GB2312"/>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绩效目标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eastAsia="仿宋_GB2312"/>
                <w:szCs w:val="21"/>
              </w:rPr>
              <w:t>（如未设定预算绩效目标，也可考核其他工作任务目标）</w:t>
            </w:r>
          </w:p>
          <w:p>
            <w:pPr>
              <w:pStyle w:val="13"/>
              <w:numPr>
                <w:ilvl w:val="0"/>
                <w:numId w:val="4"/>
              </w:numPr>
              <w:spacing w:line="260" w:lineRule="exact"/>
              <w:ind w:right="105" w:rightChars="50" w:firstLineChars="0"/>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绩效指标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资金</w:t>
            </w:r>
          </w:p>
          <w:p>
            <w:pPr>
              <w:jc w:val="center"/>
              <w:rPr>
                <w:rFonts w:ascii="仿宋_GB2312" w:eastAsia="仿宋_GB2312"/>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预算编制</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13"/>
              <w:numPr>
                <w:ilvl w:val="0"/>
                <w:numId w:val="5"/>
              </w:numPr>
              <w:spacing w:line="260" w:lineRule="exact"/>
              <w:ind w:right="105" w:rightChars="50" w:firstLineChars="0"/>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资金分配</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13"/>
              <w:numPr>
                <w:ilvl w:val="0"/>
                <w:numId w:val="6"/>
              </w:numPr>
              <w:spacing w:line="260" w:lineRule="exact"/>
              <w:ind w:right="105" w:rightChars="50" w:firstLineChars="0"/>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rPr>
                <w:rFonts w:ascii="仿宋_GB2312" w:eastAsia="仿宋_GB2312"/>
                <w:szCs w:val="21"/>
              </w:rPr>
            </w:pPr>
            <w:r>
              <w:rPr>
                <w:rFonts w:hint="eastAsia" w:ascii="仿宋_GB2312" w:eastAsia="仿宋_GB2312"/>
                <w:szCs w:val="21"/>
              </w:rPr>
              <w:t>过</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到位率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rightChars="50"/>
              <w:rPr>
                <w:rFonts w:ascii="仿宋_GB2312" w:eastAsia="仿宋_GB2312"/>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资金使用</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组织</w:t>
            </w:r>
          </w:p>
          <w:p>
            <w:pPr>
              <w:jc w:val="center"/>
              <w:rPr>
                <w:rFonts w:ascii="仿宋_GB2312" w:eastAsia="仿宋_GB2312"/>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管理制度</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制度执行</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p>
          <w:p>
            <w:pPr>
              <w:jc w:val="center"/>
              <w:rPr>
                <w:rFonts w:ascii="仿宋_GB2312" w:eastAsia="仿宋_GB2312"/>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实际</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质量</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rPr>
                <w:rFonts w:ascii="仿宋_GB2312" w:eastAsia="仿宋_GB2312"/>
                <w:szCs w:val="21"/>
              </w:rPr>
            </w:pP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Align w:val="center"/>
          </w:tcPr>
          <w:p>
            <w:pPr>
              <w:ind w:left="113"/>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成本（</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成本</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节约率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2</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成本节约率</w:t>
            </w:r>
            <w:r>
              <w:rPr>
                <w:rFonts w:ascii="仿宋_GB2312" w:eastAsia="仿宋_GB2312"/>
                <w:szCs w:val="21"/>
              </w:rPr>
              <w:t>=[</w:t>
            </w:r>
            <w:r>
              <w:rPr>
                <w:rFonts w:hint="eastAsia" w:ascii="仿宋_GB2312" w:eastAsia="仿宋_GB2312"/>
                <w:szCs w:val="21"/>
              </w:rPr>
              <w:t>（计划成本</w:t>
            </w:r>
            <w:r>
              <w:rPr>
                <w:rFonts w:ascii="仿宋_GB2312" w:eastAsia="仿宋_GB2312"/>
                <w:szCs w:val="21"/>
              </w:rPr>
              <w:t>-</w:t>
            </w:r>
            <w:r>
              <w:rPr>
                <w:rFonts w:hint="eastAsia" w:ascii="仿宋_GB2312" w:eastAsia="仿宋_GB2312"/>
                <w:szCs w:val="21"/>
              </w:rPr>
              <w:t>实际成本）</w:t>
            </w:r>
            <w:r>
              <w:rPr>
                <w:rFonts w:ascii="仿宋_GB2312" w:eastAsia="仿宋_GB2312"/>
                <w:szCs w:val="21"/>
              </w:rPr>
              <w:t>/</w:t>
            </w:r>
            <w:r>
              <w:rPr>
                <w:rFonts w:hint="eastAsia" w:ascii="仿宋_GB2312" w:eastAsia="仿宋_GB2312"/>
                <w:szCs w:val="21"/>
              </w:rPr>
              <w:t>计划成本</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实际成本：预算支出实施单位如期、保质、保量完成既定工作目标实际所耗费的支出。</w:t>
            </w:r>
            <w:r>
              <w:rPr>
                <w:rFonts w:ascii="仿宋_GB2312" w:eastAsia="仿宋_GB2312"/>
                <w:szCs w:val="21"/>
              </w:rPr>
              <w:br w:type="textWrapping"/>
            </w:r>
            <w:r>
              <w:rPr>
                <w:rFonts w:hint="eastAsia" w:ascii="仿宋_GB2312" w:eastAsia="仿宋_GB2312"/>
                <w:szCs w:val="21"/>
              </w:rPr>
              <w:t>计划成本：预算支出实施单位为完成工作目标计划安排的支出，一般以预算支出预算为参考。</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效</w:t>
            </w:r>
          </w:p>
          <w:p>
            <w:pPr>
              <w:jc w:val="center"/>
              <w:rPr>
                <w:rFonts w:ascii="仿宋_GB2312" w:eastAsia="仿宋_GB2312"/>
                <w:szCs w:val="21"/>
              </w:rPr>
            </w:pPr>
            <w:r>
              <w:rPr>
                <w:rFonts w:hint="eastAsia" w:ascii="仿宋_GB2312" w:eastAsia="仿宋_GB2312"/>
                <w:szCs w:val="21"/>
              </w:rPr>
              <w:t>益</w:t>
            </w:r>
          </w:p>
          <w:p>
            <w:pPr>
              <w:jc w:val="center"/>
              <w:rPr>
                <w:rFonts w:ascii="仿宋_GB2312" w:eastAsia="仿宋_GB2312"/>
                <w:szCs w:val="21"/>
              </w:rPr>
            </w:pPr>
            <w:r>
              <w:rPr>
                <w:rFonts w:hint="eastAsia" w:ascii="仿宋_GB2312" w:eastAsia="仿宋_GB2312"/>
                <w:szCs w:val="21"/>
              </w:rPr>
              <w:t>（</w:t>
            </w:r>
            <w:r>
              <w:rPr>
                <w:rFonts w:ascii="仿宋_GB2312" w:eastAsia="仿宋_GB2312"/>
                <w:szCs w:val="21"/>
              </w:rPr>
              <w:t>30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实施效益（</w:t>
            </w:r>
            <w:r>
              <w:rPr>
                <w:rFonts w:ascii="仿宋_GB2312" w:eastAsia="仿宋_GB2312"/>
                <w:szCs w:val="21"/>
              </w:rPr>
              <w:t>20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分，少于</w:t>
            </w:r>
            <w:r>
              <w:rPr>
                <w:rFonts w:ascii="仿宋_GB2312" w:eastAsia="仿宋_GB2312"/>
                <w:szCs w:val="21"/>
              </w:rPr>
              <w:t>60%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预算支出实施所产生的社会效益、经济效益、生态效益、可持续影响等。可根据预算支出实际情况有选择地设置和细化。</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社会公众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或服务对</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计满分，每下降五个百分点扣</w:t>
            </w:r>
            <w:r>
              <w:rPr>
                <w:rFonts w:ascii="仿宋_GB2312" w:eastAsia="仿宋_GB2312"/>
                <w:szCs w:val="21"/>
              </w:rPr>
              <w:t>2</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社会公众或服务对象是指因该预算支出实施而受到影响的部门、群体或个人。一般采取社会调查的方式。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w:t>
            </w:r>
          </w:p>
        </w:tc>
      </w:tr>
    </w:tbl>
    <w:p>
      <w:pPr>
        <w:widowControl/>
        <w:spacing w:line="600" w:lineRule="exact"/>
        <w:ind w:firstLine="420" w:firstLineChars="200"/>
        <w:jc w:val="left"/>
        <w:rPr>
          <w:rFonts w:eastAsia="黑体"/>
          <w:sz w:val="32"/>
          <w:szCs w:val="32"/>
        </w:rPr>
      </w:pPr>
      <w:r>
        <w:br w:type="page"/>
      </w:r>
      <w:r>
        <w:rPr>
          <w:rFonts w:hint="eastAsia" w:eastAsia="黑体"/>
          <w:sz w:val="32"/>
          <w:szCs w:val="32"/>
        </w:rPr>
        <w:t>附件</w:t>
      </w:r>
      <w:r>
        <w:rPr>
          <w:rFonts w:eastAsia="黑体"/>
          <w:sz w:val="32"/>
          <w:szCs w:val="32"/>
        </w:rPr>
        <w:t>4-2</w:t>
      </w:r>
    </w:p>
    <w:tbl>
      <w:tblPr>
        <w:tblStyle w:val="6"/>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1005"/>
        <w:gridCol w:w="1286"/>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lang w:val="en-US" w:eastAsia="zh-CN"/>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eastAsia="仿宋_GB2312"/>
                <w:color w:val="000000"/>
                <w:kern w:val="0"/>
                <w:szCs w:val="21"/>
                <w:lang w:eastAsia="zh-CN"/>
              </w:rPr>
            </w:pPr>
            <w:r>
              <w:rPr>
                <w:rFonts w:hint="eastAsia" w:eastAsia="仿宋_GB2312"/>
                <w:color w:val="000000"/>
                <w:kern w:val="0"/>
                <w:szCs w:val="21"/>
                <w:lang w:eastAsia="zh-CN"/>
              </w:rPr>
              <w:t>高新技术培育</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辰溪县科学技术局</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辰溪县科学技术局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1005"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286"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25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25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25</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286" w:type="dxa"/>
            <w:tcBorders>
              <w:top w:val="nil"/>
              <w:left w:val="nil"/>
              <w:bottom w:val="single" w:color="auto" w:sz="4" w:space="0"/>
              <w:right w:val="single" w:color="auto" w:sz="4" w:space="0"/>
            </w:tcBorders>
            <w:vAlign w:val="center"/>
          </w:tcPr>
          <w:p>
            <w:pPr>
              <w:widowControl/>
              <w:spacing w:line="320" w:lineRule="exact"/>
              <w:ind w:firstLine="420" w:firstLineChars="20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25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25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25</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100%</w:t>
            </w:r>
            <w:bookmarkStart w:id="0" w:name="_GoBack"/>
            <w:bookmarkEnd w:id="0"/>
          </w:p>
        </w:tc>
        <w:tc>
          <w:tcPr>
            <w:tcW w:w="1286"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00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86"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00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86"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　</w:t>
            </w:r>
            <w:r>
              <w:rPr>
                <w:rFonts w:hint="eastAsia" w:eastAsia="仿宋_GB2312"/>
                <w:color w:val="000000"/>
                <w:kern w:val="0"/>
                <w:szCs w:val="21"/>
                <w:lang w:eastAsia="zh-CN"/>
              </w:rPr>
              <w:t>指导</w:t>
            </w:r>
            <w:r>
              <w:rPr>
                <w:rFonts w:hint="eastAsia" w:ascii="仿宋" w:hAnsi="仿宋" w:eastAsia="仿宋" w:cs="仿宋"/>
                <w:i w:val="0"/>
                <w:caps w:val="0"/>
                <w:color w:val="333333"/>
                <w:spacing w:val="0"/>
                <w:sz w:val="24"/>
                <w:szCs w:val="24"/>
                <w:shd w:val="clear" w:fill="FFFFFF"/>
                <w:lang w:val="en-US" w:eastAsia="zh-CN"/>
              </w:rPr>
              <w:t>企业申报高新技术企业，完成高新技术培育</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rPr>
            </w:pPr>
            <w:r>
              <w:rPr>
                <w:rFonts w:hint="eastAsia" w:eastAsia="仿宋_GB2312"/>
                <w:color w:val="000000"/>
                <w:kern w:val="0"/>
                <w:szCs w:val="21"/>
              </w:rPr>
              <w:t>　</w:t>
            </w:r>
            <w:r>
              <w:rPr>
                <w:rFonts w:hint="eastAsia" w:eastAsia="仿宋_GB2312"/>
                <w:color w:val="000000"/>
                <w:kern w:val="0"/>
                <w:sz w:val="24"/>
                <w:szCs w:val="24"/>
                <w:lang w:eastAsia="zh-CN"/>
              </w:rPr>
              <w:t>年完成高新技术企业</w:t>
            </w:r>
            <w:r>
              <w:rPr>
                <w:rFonts w:hint="eastAsia" w:eastAsia="仿宋_GB2312"/>
                <w:color w:val="000000"/>
                <w:kern w:val="0"/>
                <w:sz w:val="24"/>
                <w:szCs w:val="24"/>
                <w:lang w:val="en-US" w:eastAsia="zh-CN"/>
              </w:rPr>
              <w:t>8家</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10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完成高新技术企业申报</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8</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8</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00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完成高新技术企业培育</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00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推进各重点项目进度</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00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尽量节约成本</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00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促进经济社会协调发展</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00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有利于社会发展</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00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005"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1286"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00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286"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保护环境，促进社会持续发展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00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286"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努力提高</w:t>
            </w:r>
            <w:r>
              <w:rPr>
                <w:rFonts w:hint="eastAsia" w:eastAsia="仿宋_GB2312"/>
                <w:color w:val="000000"/>
                <w:kern w:val="0"/>
                <w:szCs w:val="21"/>
              </w:rPr>
              <w:t>受益群众满意度</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99%</w:t>
            </w:r>
          </w:p>
        </w:tc>
        <w:tc>
          <w:tcPr>
            <w:tcW w:w="82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00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9</w:t>
            </w:r>
          </w:p>
        </w:tc>
        <w:tc>
          <w:tcPr>
            <w:tcW w:w="1286"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00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86"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100</w:t>
            </w:r>
          </w:p>
        </w:tc>
        <w:tc>
          <w:tcPr>
            <w:tcW w:w="1005"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86"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99</w:t>
            </w:r>
          </w:p>
        </w:tc>
      </w:tr>
    </w:tbl>
    <w:p>
      <w:pPr>
        <w:spacing w:beforeLines="50" w:line="320" w:lineRule="exact"/>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afterLines="100" w:line="600" w:lineRule="exact"/>
        <w:rPr>
          <w:rFonts w:eastAsia="黑体"/>
          <w:sz w:val="32"/>
          <w:szCs w:val="32"/>
        </w:rPr>
      </w:pPr>
    </w:p>
    <w:tbl>
      <w:tblPr>
        <w:tblStyle w:val="6"/>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lang w:val="en-US" w:eastAsia="zh-CN"/>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科技三项费</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辰溪县科学技术局</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辰溪县科学技术局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75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75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75</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 w:val="22"/>
                <w:szCs w:val="22"/>
                <w:lang w:val="en-US" w:eastAsia="zh-CN"/>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75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rPr>
            </w:pPr>
            <w:r>
              <w:rPr>
                <w:rFonts w:hint="eastAsia" w:eastAsia="仿宋_GB2312"/>
                <w:color w:val="000000"/>
                <w:kern w:val="0"/>
                <w:szCs w:val="21"/>
              </w:rPr>
              <w:t>　</w:t>
            </w:r>
            <w:r>
              <w:rPr>
                <w:rFonts w:hint="eastAsia" w:eastAsia="仿宋_GB2312"/>
                <w:color w:val="000000"/>
                <w:kern w:val="0"/>
                <w:szCs w:val="21"/>
                <w:lang w:val="en-US" w:eastAsia="zh-CN"/>
              </w:rPr>
              <w:t>75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rPr>
            </w:pPr>
            <w:r>
              <w:rPr>
                <w:rFonts w:hint="eastAsia" w:eastAsia="仿宋_GB2312"/>
                <w:color w:val="000000"/>
                <w:kern w:val="0"/>
                <w:szCs w:val="21"/>
              </w:rPr>
              <w:t>　</w:t>
            </w:r>
            <w:r>
              <w:rPr>
                <w:rFonts w:hint="eastAsia" w:eastAsia="仿宋_GB2312"/>
                <w:color w:val="000000"/>
                <w:kern w:val="0"/>
                <w:szCs w:val="21"/>
                <w:lang w:val="en-US" w:eastAsia="zh-CN"/>
              </w:rPr>
              <w:t>75</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ascii="仿宋" w:hAnsi="仿宋" w:eastAsia="仿宋" w:cs="仿宋"/>
                <w:i w:val="0"/>
                <w:caps w:val="0"/>
                <w:color w:val="333333"/>
                <w:spacing w:val="0"/>
                <w:sz w:val="22"/>
                <w:szCs w:val="22"/>
                <w:shd w:val="clear" w:fill="FFFFFF"/>
                <w:lang w:val="en-US" w:eastAsia="zh-CN"/>
              </w:rPr>
              <w:t>指导企业、农业合作社发展科技生产，完成县级科技项目申报</w:t>
            </w: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widowControl/>
              <w:numPr>
                <w:ilvl w:val="0"/>
                <w:numId w:val="0"/>
              </w:numPr>
              <w:spacing w:line="320" w:lineRule="exact"/>
              <w:jc w:val="both"/>
              <w:rPr>
                <w:rFonts w:hint="default" w:eastAsia="仿宋_GB2312"/>
                <w:color w:val="000000"/>
                <w:kern w:val="0"/>
                <w:szCs w:val="21"/>
                <w:lang w:val="en-US" w:eastAsia="zh-CN"/>
              </w:rPr>
            </w:pPr>
            <w:r>
              <w:rPr>
                <w:rFonts w:hint="eastAsia" w:eastAsia="仿宋_GB2312"/>
                <w:color w:val="000000"/>
                <w:kern w:val="0"/>
                <w:szCs w:val="21"/>
                <w:lang w:eastAsia="zh-CN"/>
              </w:rPr>
              <w:t>全年完成县级科技项目</w:t>
            </w:r>
            <w:r>
              <w:rPr>
                <w:rFonts w:hint="eastAsia" w:eastAsia="仿宋_GB2312"/>
                <w:color w:val="000000"/>
                <w:kern w:val="0"/>
                <w:szCs w:val="21"/>
                <w:lang w:val="en-US" w:eastAsia="zh-CN"/>
              </w:rPr>
              <w:t>48家</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完成县级科技项目申报</w:t>
            </w: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40</w:t>
            </w:r>
          </w:p>
        </w:tc>
        <w:tc>
          <w:tcPr>
            <w:tcW w:w="1134" w:type="dxa"/>
            <w:tcBorders>
              <w:top w:val="single" w:color="auto" w:sz="4" w:space="0"/>
              <w:left w:val="nil"/>
              <w:bottom w:val="single" w:color="auto" w:sz="4" w:space="0"/>
              <w:right w:val="single" w:color="auto" w:sz="4" w:space="0"/>
            </w:tcBorders>
            <w:vAlign w:val="center"/>
          </w:tcPr>
          <w:p>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宋体" w:hAnsi="宋体" w:cs="宋体"/>
                <w:i w:val="0"/>
                <w:color w:val="000000"/>
                <w:kern w:val="0"/>
                <w:sz w:val="21"/>
                <w:szCs w:val="21"/>
                <w:u w:val="none"/>
                <w:lang w:val="en-US" w:eastAsia="zh-CN" w:bidi="ar"/>
              </w:rPr>
              <w:t>48</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落实项目资金使用情况</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有效推动项目企业科技进步</w:t>
            </w:r>
            <w:r>
              <w:rPr>
                <w:rFonts w:hint="eastAsia" w:eastAsia="仿宋_GB2312"/>
                <w:color w:val="000000"/>
                <w:kern w:val="0"/>
                <w:szCs w:val="21"/>
                <w:lang w:val="en-US" w:eastAsia="zh-CN"/>
              </w:rPr>
              <w:t xml:space="preserve">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厉行节约</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有效将科技转化为生产力</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有利于社会发展</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督促企业</w:t>
            </w:r>
            <w:r>
              <w:rPr>
                <w:rFonts w:hint="eastAsia" w:eastAsia="仿宋_GB2312"/>
                <w:color w:val="000000"/>
                <w:kern w:val="0"/>
                <w:szCs w:val="21"/>
              </w:rPr>
              <w:t>保护环境，促进社会持续发展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努力提高</w:t>
            </w:r>
            <w:r>
              <w:rPr>
                <w:rFonts w:hint="eastAsia" w:eastAsia="仿宋_GB2312"/>
                <w:color w:val="000000"/>
                <w:kern w:val="0"/>
                <w:szCs w:val="21"/>
              </w:rPr>
              <w:t>受益群众满意度</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99%</w:t>
            </w:r>
          </w:p>
        </w:tc>
        <w:tc>
          <w:tcPr>
            <w:tcW w:w="82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9</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tabs>
                <w:tab w:val="center" w:pos="601"/>
              </w:tabs>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eastAsia="zh-CN"/>
              </w:rPr>
              <w:tab/>
            </w:r>
            <w:r>
              <w:rPr>
                <w:rFonts w:hint="eastAsia" w:eastAsia="仿宋_GB2312"/>
                <w:color w:val="000000"/>
                <w:kern w:val="0"/>
                <w:szCs w:val="21"/>
                <w:lang w:val="en-US" w:eastAsia="zh-CN"/>
              </w:rPr>
              <w:t>99</w:t>
            </w:r>
          </w:p>
        </w:tc>
      </w:tr>
    </w:tbl>
    <w:p>
      <w:pPr>
        <w:widowControl/>
        <w:spacing w:line="600" w:lineRule="exact"/>
        <w:jc w:val="left"/>
        <w:rPr>
          <w:rFonts w:eastAsia="黑体"/>
          <w:sz w:val="32"/>
          <w:szCs w:val="32"/>
        </w:rPr>
      </w:pPr>
      <w:r>
        <w:rPr>
          <w:rFonts w:hint="eastAsia" w:eastAsia="黑体"/>
          <w:sz w:val="32"/>
          <w:szCs w:val="32"/>
        </w:rPr>
        <w:t>附件</w:t>
      </w:r>
      <w:r>
        <w:rPr>
          <w:rFonts w:eastAsia="黑体"/>
          <w:sz w:val="32"/>
          <w:szCs w:val="32"/>
        </w:rPr>
        <w:t>5-2</w:t>
      </w:r>
    </w:p>
    <w:p>
      <w:pPr>
        <w:spacing w:line="600" w:lineRule="exact"/>
        <w:jc w:val="center"/>
        <w:rPr>
          <w:rFonts w:eastAsia="方正小标宋_GBK"/>
          <w:sz w:val="36"/>
          <w:szCs w:val="36"/>
        </w:rPr>
      </w:pPr>
      <w:r>
        <w:rPr>
          <w:rFonts w:hint="eastAsia" w:eastAsia="方正小标宋_GBK"/>
          <w:sz w:val="36"/>
          <w:szCs w:val="36"/>
        </w:rPr>
        <w:t>预算支出绩效报告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一、预算支出概况</w:t>
      </w:r>
    </w:p>
    <w:p>
      <w:pPr>
        <w:pStyle w:val="13"/>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部门、单位基本情况</w:t>
      </w:r>
    </w:p>
    <w:p>
      <w:pPr>
        <w:widowControl/>
        <w:spacing w:after="204" w:line="462" w:lineRule="atLeast"/>
        <w:ind w:firstLine="480"/>
        <w:rPr>
          <w:rFonts w:asciiTheme="minorEastAsia" w:hAnsiTheme="minorEastAsia"/>
          <w:bCs/>
          <w:kern w:val="0"/>
          <w:sz w:val="32"/>
          <w:szCs w:val="32"/>
        </w:rPr>
      </w:pPr>
      <w:r>
        <w:rPr>
          <w:rFonts w:hint="eastAsia" w:ascii="仿宋" w:hAnsi="仿宋" w:eastAsia="仿宋" w:cs="仿宋"/>
          <w:sz w:val="30"/>
          <w:szCs w:val="30"/>
        </w:rPr>
        <w:t>（一）</w:t>
      </w:r>
      <w:r>
        <w:rPr>
          <w:rFonts w:hint="eastAsia" w:ascii="仿宋" w:hAnsi="仿宋" w:eastAsia="仿宋" w:cs="仿宋"/>
          <w:b/>
          <w:bCs/>
          <w:color w:val="000000"/>
          <w:sz w:val="30"/>
          <w:szCs w:val="30"/>
          <w:lang w:eastAsia="zh-CN"/>
        </w:rPr>
        <w:t>部门</w:t>
      </w:r>
      <w:r>
        <w:rPr>
          <w:rFonts w:hint="eastAsia" w:ascii="仿宋" w:hAnsi="仿宋" w:eastAsia="仿宋" w:cs="仿宋"/>
          <w:b/>
          <w:bCs/>
          <w:color w:val="000000"/>
          <w:sz w:val="30"/>
          <w:szCs w:val="30"/>
        </w:rPr>
        <w:t>机构设置：</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1、办公室（行政审批服务股）。负责机关日常运作，负责党建、人事、财务、工会工作。承担机关文电、会务、档案、保密、信访、政务公开、新闻宣传等工作。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 xml:space="preserve">2、综合业务股。承担县内各级科技计划、项目、人才和平台等服务工作。负责高新技术培育、成果转化、科技普及、产学研合作、全社会研发经费投入等科技统计、管理和服务工作。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下设二级事业单位1个：县科技信息研究所</w:t>
      </w:r>
    </w:p>
    <w:p>
      <w:pPr>
        <w:pStyle w:val="13"/>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部门职责</w:t>
      </w:r>
      <w:r>
        <w:rPr>
          <w:rFonts w:hint="eastAsia" w:ascii="仿宋" w:hAnsi="仿宋" w:eastAsia="仿宋" w:cs="仿宋"/>
          <w:b/>
          <w:bCs/>
          <w:sz w:val="30"/>
          <w:szCs w:val="30"/>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1、贯彻创新驱动发展战略和创新引领开放崛起战略，拟订全县科技发展、引进国外及国内智力规划和政策并组织实施；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2、统筹推进全县创新体系建设和科技体制改革，会同有关部门健全技术创新激励机制。优化科研体系建设，指导科研机构改革发展，推动企业科技创新能力建设，承担推进科技军民融合发展相关工作，推进全县重大科技决策咨询制度建设。拟订科学普及和科学传播规划、政策。统筹推进创新型城市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3、牵头建立统一的县级科技管理平台和科研项目资金协调、评估、监督机制。会同有关部门提出优化配置科技资源的政策措施建议，推动多元化科技投入体系建设，协调管理县级科技财政计划（专项、基金等）并监督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4、拟订全县基础研究规划、政策和标准并组织实施，组织协调县级重大基础研究和应用基础研究。拟订重大科技创新基地建设规划并监督实施，参与编制重大科技基础设施建设规划和监督实施，牵头组织县重点实验室等重大科技创新基地建设，推动科研条件保障建设和科技资源开放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5、编制县级重大科技项目计划并监督实施，统筹关键共性技术、前沿引领技术、现代工程技术、颠覆性技术研究和创新，牵头组织重大技术攻关和成果应用示范。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6、组织拟订高新技术发展及产业化、科技促进农业农村和社会发展的规划、政策和措施。组织开展重点领域技术发展需求分析，提出重大任务并监督实施。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7、牵头县级技术转移体系建设，拟订科技成果转移转化和促进产学研结合的相关政策措施并监督实施、指导科技服务业、技术市场、科技金融结合和科技中介组织发展。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8、统筹区域科技创新体系建设，指导区域创新发展、科技资源合理布局和协调创新能力建设，推动科技园区建设。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9、负责科学监督评价体系建设和相关科技评优管理，指导科技评价机制改革，统筹科研诚信建设。组织实施全县创新调查和科技报告制度，指导全县科技保密工作。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10、拟订科技对外交往与创新能力开放合作的规划、政策和措施，组织开展国际和区域科技合作与科技人才交流。指导相关部门对外科技合作与科技人才交流工作。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11、负责引进国外和国内智力工作。拟订全县重点引进国外专家总体规划、计划并组织实施，建立国外和国内顶尖科学家、团队吸引集聚机制和重点国内外专家联系服务机制。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12、会同有关部门拟订科技人才队伍建设规划和政策，建立健全科技人才评价和激励机制，组织实施科技人才计划，推动高端科技创新人才队伍建设。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i w:val="0"/>
          <w:iCs w:val="0"/>
          <w:caps w:val="0"/>
          <w:color w:val="3D3D3D"/>
          <w:spacing w:val="0"/>
          <w:sz w:val="30"/>
          <w:szCs w:val="30"/>
        </w:rPr>
      </w:pPr>
      <w:r>
        <w:rPr>
          <w:rFonts w:hint="eastAsia" w:ascii="仿宋" w:hAnsi="仿宋" w:eastAsia="仿宋" w:cs="仿宋"/>
          <w:i w:val="0"/>
          <w:iCs w:val="0"/>
          <w:caps w:val="0"/>
          <w:color w:val="3D3D3D"/>
          <w:spacing w:val="0"/>
          <w:kern w:val="0"/>
          <w:sz w:val="30"/>
          <w:szCs w:val="30"/>
          <w:shd w:val="clear" w:fill="FFFFFF"/>
          <w:lang w:val="en-US" w:eastAsia="zh-CN" w:bidi="ar"/>
        </w:rPr>
        <w:t>13、完成县委、县政府交办的其他任务。</w:t>
      </w:r>
    </w:p>
    <w:p>
      <w:pPr>
        <w:keepNext w:val="0"/>
        <w:keepLines w:val="0"/>
        <w:pageBreakBefore w:val="0"/>
        <w:widowControl/>
        <w:numPr>
          <w:ilvl w:val="0"/>
          <w:numId w:val="0"/>
        </w:numPr>
        <w:kinsoku/>
        <w:wordWrap/>
        <w:overflowPunct/>
        <w:topLinePunct w:val="0"/>
        <w:bidi w:val="0"/>
        <w:snapToGrid/>
        <w:spacing w:line="520" w:lineRule="exact"/>
        <w:ind w:firstLine="640" w:firstLineChars="200"/>
        <w:textAlignment w:val="auto"/>
        <w:rPr>
          <w:rFonts w:hint="eastAsia" w:eastAsia="仿宋_GB2312"/>
          <w:sz w:val="32"/>
          <w:szCs w:val="32"/>
        </w:rPr>
      </w:pP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（二）预算资金基本情况包括预算资金基本性质、用途和主要内容、涉及范围等。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、预算批复及执行情况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财政局批复我局20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年度专项资金预算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其中高新技术培育</w:t>
      </w:r>
      <w:r>
        <w:rPr>
          <w:rFonts w:hint="eastAsia" w:ascii="仿宋_GB2312" w:hAnsi="仿宋_GB2312" w:eastAsia="仿宋_GB2312" w:cs="仿宋_GB2312"/>
          <w:sz w:val="32"/>
          <w:szCs w:val="32"/>
          <w:lang w:val="en-US" w:eastAsia="zh-CN"/>
        </w:rPr>
        <w:t>25万元，科技三项费75万元，</w:t>
      </w:r>
      <w:r>
        <w:rPr>
          <w:rFonts w:hint="eastAsia" w:ascii="仿宋_GB2312" w:hAnsi="仿宋_GB2312" w:eastAsia="仿宋_GB2312" w:cs="仿宋_GB2312"/>
          <w:sz w:val="32"/>
          <w:szCs w:val="32"/>
        </w:rPr>
        <w:t>全年实际执行</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0"/>
        </w:numPr>
        <w:adjustRightInd w:val="0"/>
        <w:snapToGrid w:val="0"/>
        <w:spacing w:line="600" w:lineRule="exact"/>
        <w:ind w:leftChars="200"/>
        <w:rPr>
          <w:rFonts w:hint="eastAsia" w:eastAsia="仿宋_GB2312"/>
          <w:sz w:val="32"/>
          <w:szCs w:val="32"/>
        </w:rPr>
      </w:pPr>
      <w:r>
        <w:rPr>
          <w:rFonts w:hint="eastAsia" w:eastAsia="仿宋_GB2312"/>
          <w:sz w:val="32"/>
          <w:szCs w:val="32"/>
          <w:lang w:eastAsia="zh-CN"/>
        </w:rPr>
        <w:t>（三）</w:t>
      </w:r>
      <w:r>
        <w:rPr>
          <w:rFonts w:hint="eastAsia" w:eastAsia="仿宋_GB2312"/>
          <w:sz w:val="32"/>
          <w:szCs w:val="32"/>
        </w:rPr>
        <w:t>预算资金绩效目标，包括总体目标和年度目标。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预算资金绩效总体目标：完成高新技术培育</w:t>
      </w:r>
      <w:r>
        <w:rPr>
          <w:rFonts w:hint="eastAsia" w:ascii="仿宋" w:hAnsi="仿宋" w:eastAsia="仿宋" w:cs="仿宋"/>
          <w:sz w:val="32"/>
          <w:szCs w:val="32"/>
          <w:lang w:val="en-US" w:eastAsia="zh-CN"/>
        </w:rPr>
        <w:t>8家，县级科技项目40家。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default" w:eastAsia="仿宋_GB2312"/>
          <w:sz w:val="32"/>
          <w:szCs w:val="32"/>
          <w:lang w:val="en-US"/>
        </w:rPr>
      </w:pPr>
      <w:r>
        <w:rPr>
          <w:rFonts w:hint="eastAsia" w:ascii="仿宋" w:hAnsi="仿宋" w:eastAsia="仿宋" w:cs="仿宋"/>
          <w:i w:val="0"/>
          <w:caps w:val="0"/>
          <w:color w:val="333333"/>
          <w:spacing w:val="0"/>
          <w:sz w:val="31"/>
          <w:szCs w:val="31"/>
          <w:shd w:val="clear" w:fill="FFFFFF"/>
          <w:lang w:val="en-US" w:eastAsia="zh-CN"/>
        </w:rPr>
        <w:t>2、</w:t>
      </w:r>
      <w:r>
        <w:rPr>
          <w:rFonts w:hint="eastAsia" w:ascii="仿宋" w:hAnsi="仿宋" w:eastAsia="仿宋" w:cs="仿宋"/>
          <w:i w:val="0"/>
          <w:caps w:val="0"/>
          <w:color w:val="333333"/>
          <w:spacing w:val="0"/>
          <w:sz w:val="31"/>
          <w:szCs w:val="31"/>
          <w:shd w:val="clear" w:fill="FFFFFF"/>
          <w:lang w:eastAsia="zh-CN"/>
        </w:rPr>
        <w:t>年</w:t>
      </w:r>
      <w:r>
        <w:rPr>
          <w:rFonts w:hint="eastAsia" w:ascii="仿宋" w:hAnsi="仿宋" w:eastAsia="仿宋" w:cs="仿宋"/>
          <w:i w:val="0"/>
          <w:caps w:val="0"/>
          <w:color w:val="333333"/>
          <w:spacing w:val="0"/>
          <w:sz w:val="31"/>
          <w:szCs w:val="31"/>
          <w:shd w:val="clear" w:fill="FFFFFF"/>
        </w:rPr>
        <w:t>度</w:t>
      </w:r>
      <w:r>
        <w:rPr>
          <w:rFonts w:hint="eastAsia" w:ascii="仿宋" w:hAnsi="仿宋" w:eastAsia="仿宋" w:cs="仿宋"/>
          <w:i w:val="0"/>
          <w:caps w:val="0"/>
          <w:color w:val="333333"/>
          <w:spacing w:val="0"/>
          <w:sz w:val="31"/>
          <w:szCs w:val="31"/>
          <w:shd w:val="clear" w:fill="FFFFFF"/>
          <w:lang w:eastAsia="zh-CN"/>
        </w:rPr>
        <w:t>预算绩效目标完成情况：完成高新技术培育</w:t>
      </w:r>
      <w:r>
        <w:rPr>
          <w:rFonts w:hint="eastAsia" w:ascii="仿宋" w:hAnsi="仿宋" w:eastAsia="仿宋" w:cs="仿宋"/>
          <w:i w:val="0"/>
          <w:caps w:val="0"/>
          <w:color w:val="333333"/>
          <w:spacing w:val="0"/>
          <w:sz w:val="31"/>
          <w:szCs w:val="31"/>
          <w:shd w:val="clear" w:fill="FFFFFF"/>
          <w:lang w:val="en-US" w:eastAsia="zh-CN"/>
        </w:rPr>
        <w:t>8家，县级科技项目48家</w:t>
      </w:r>
    </w:p>
    <w:p>
      <w:pPr>
        <w:adjustRightInd w:val="0"/>
        <w:snapToGrid w:val="0"/>
        <w:spacing w:line="600" w:lineRule="exact"/>
        <w:ind w:firstLine="640" w:firstLineChars="200"/>
        <w:rPr>
          <w:rFonts w:eastAsia="黑体"/>
          <w:sz w:val="32"/>
          <w:szCs w:val="32"/>
        </w:rPr>
      </w:pPr>
      <w:r>
        <w:rPr>
          <w:rFonts w:hint="eastAsia" w:eastAsia="黑体"/>
          <w:sz w:val="32"/>
          <w:szCs w:val="32"/>
        </w:rPr>
        <w:t>二、预算资金使用及管理情况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我局认真落实专项资金使用要求，规范使用方向，积极发挥财政资金引领作用，没有超范围。超标准支出，不存在截留、挪用、挤占资金的情况。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（三）预算资金管理情况分析，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20" w:firstLineChars="200"/>
        <w:jc w:val="both"/>
        <w:textAlignment w:val="auto"/>
        <w:rPr>
          <w:rFonts w:hint="eastAsia" w:eastAsia="黑体"/>
          <w:sz w:val="32"/>
          <w:szCs w:val="32"/>
        </w:rPr>
      </w:pPr>
      <w:r>
        <w:rPr>
          <w:rFonts w:hint="eastAsia" w:ascii="仿宋" w:hAnsi="仿宋" w:eastAsia="仿宋" w:cs="仿宋"/>
          <w:i w:val="0"/>
          <w:caps w:val="0"/>
          <w:color w:val="333333"/>
          <w:spacing w:val="0"/>
          <w:sz w:val="31"/>
          <w:szCs w:val="31"/>
          <w:shd w:val="clear" w:fill="FFFFFF"/>
          <w:lang w:eastAsia="zh-CN"/>
        </w:rPr>
        <w:t>按相关规定根据实际情况提取和使用，</w:t>
      </w:r>
      <w:r>
        <w:rPr>
          <w:rFonts w:hint="eastAsia" w:ascii="仿宋" w:hAnsi="仿宋" w:eastAsia="仿宋" w:cs="仿宋"/>
          <w:i w:val="0"/>
          <w:caps w:val="0"/>
          <w:color w:val="4C4C4C"/>
          <w:spacing w:val="0"/>
          <w:sz w:val="31"/>
          <w:szCs w:val="31"/>
          <w:shd w:val="clear" w:fill="FFFFFF"/>
        </w:rPr>
        <w:t>严把监督审核关</w:t>
      </w:r>
      <w:r>
        <w:rPr>
          <w:rFonts w:hint="eastAsia" w:ascii="仿宋" w:hAnsi="仿宋" w:eastAsia="仿宋" w:cs="仿宋"/>
          <w:i w:val="0"/>
          <w:caps w:val="0"/>
          <w:color w:val="4C4C4C"/>
          <w:spacing w:val="0"/>
          <w:sz w:val="31"/>
          <w:szCs w:val="31"/>
          <w:shd w:val="clear" w:fill="FFFFFF"/>
          <w:lang w:eastAsia="zh-CN"/>
        </w:rPr>
        <w:t>，</w:t>
      </w:r>
      <w:r>
        <w:rPr>
          <w:rFonts w:hint="eastAsia" w:ascii="仿宋" w:hAnsi="仿宋" w:eastAsia="仿宋" w:cs="仿宋"/>
          <w:i w:val="0"/>
          <w:caps w:val="0"/>
          <w:color w:val="4C4C4C"/>
          <w:spacing w:val="0"/>
          <w:sz w:val="31"/>
          <w:szCs w:val="31"/>
          <w:shd w:val="clear" w:fill="FFFFFF"/>
        </w:rPr>
        <w:t>建立健全内部审批制度。对每笔用款申请，经审核确认</w:t>
      </w:r>
      <w:r>
        <w:rPr>
          <w:rFonts w:hint="eastAsia" w:ascii="仿宋" w:hAnsi="仿宋" w:eastAsia="仿宋" w:cs="仿宋"/>
          <w:i w:val="0"/>
          <w:caps w:val="0"/>
          <w:color w:val="4C4C4C"/>
          <w:spacing w:val="0"/>
          <w:sz w:val="31"/>
          <w:szCs w:val="31"/>
          <w:shd w:val="clear" w:fill="FFFFFF"/>
          <w:lang w:eastAsia="zh-CN"/>
        </w:rPr>
        <w:t>无误</w:t>
      </w:r>
      <w:r>
        <w:rPr>
          <w:rFonts w:hint="eastAsia" w:ascii="仿宋" w:hAnsi="仿宋" w:eastAsia="仿宋" w:cs="仿宋"/>
          <w:i w:val="0"/>
          <w:caps w:val="0"/>
          <w:color w:val="4C4C4C"/>
          <w:spacing w:val="0"/>
          <w:sz w:val="31"/>
          <w:szCs w:val="31"/>
          <w:shd w:val="clear" w:fill="FFFFFF"/>
        </w:rPr>
        <w:t>后</w:t>
      </w:r>
      <w:r>
        <w:rPr>
          <w:rFonts w:hint="eastAsia" w:ascii="仿宋" w:hAnsi="仿宋" w:eastAsia="仿宋" w:cs="仿宋"/>
          <w:i w:val="0"/>
          <w:caps w:val="0"/>
          <w:color w:val="4C4C4C"/>
          <w:spacing w:val="0"/>
          <w:sz w:val="31"/>
          <w:szCs w:val="31"/>
          <w:shd w:val="clear" w:fill="FFFFFF"/>
          <w:lang w:eastAsia="zh-CN"/>
        </w:rPr>
        <w:t>按内部审批制度执行</w:t>
      </w:r>
      <w:r>
        <w:rPr>
          <w:rFonts w:hint="eastAsia" w:ascii="仿宋" w:hAnsi="仿宋" w:eastAsia="仿宋" w:cs="仿宋"/>
          <w:i w:val="0"/>
          <w:caps w:val="0"/>
          <w:color w:val="333333"/>
          <w:spacing w:val="0"/>
          <w:sz w:val="31"/>
          <w:szCs w:val="31"/>
          <w:shd w:val="clear" w:fill="FFFFFF"/>
          <w:lang w:eastAsia="zh-CN"/>
        </w:rPr>
        <w:t>。</w:t>
      </w:r>
    </w:p>
    <w:p>
      <w:pPr>
        <w:adjustRightInd w:val="0"/>
        <w:snapToGrid w:val="0"/>
        <w:spacing w:line="600" w:lineRule="exact"/>
        <w:ind w:firstLine="640" w:firstLineChars="200"/>
        <w:rPr>
          <w:rFonts w:eastAsia="黑体"/>
          <w:sz w:val="32"/>
          <w:szCs w:val="32"/>
        </w:rPr>
      </w:pPr>
      <w:r>
        <w:rPr>
          <w:rFonts w:hint="eastAsia" w:eastAsia="黑体"/>
          <w:sz w:val="32"/>
          <w:szCs w:val="32"/>
        </w:rPr>
        <w:t>三、预算支出组织实施情况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（一）资金使用管理情况，主要包括预算资金及项目管理制度建设、日常检查监督管理等情况。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20"/>
        <w:jc w:val="both"/>
        <w:rPr>
          <w:rFonts w:hint="eastAsia" w:eastAsia="仿宋_GB2312"/>
          <w:sz w:val="32"/>
          <w:szCs w:val="32"/>
        </w:rPr>
      </w:pPr>
      <w:r>
        <w:rPr>
          <w:rFonts w:hint="eastAsia" w:ascii="仿宋" w:hAnsi="仿宋" w:eastAsia="仿宋" w:cs="仿宋"/>
          <w:b w:val="0"/>
          <w:i w:val="0"/>
          <w:caps w:val="0"/>
          <w:color w:val="333333"/>
          <w:spacing w:val="0"/>
          <w:kern w:val="0"/>
          <w:sz w:val="31"/>
          <w:szCs w:val="31"/>
          <w:shd w:val="clear" w:fill="FFFFFF"/>
          <w:lang w:val="en-US" w:eastAsia="zh-CN" w:bidi="ar"/>
        </w:rPr>
        <w:t>为加强项目资金的使用管理，我所根据《辰溪县财政专项资金管理暂行办法》和我所《财务管理制度》，严格执行项目资金管理，所有项目资金的使用都严格按规定据实结算，使项目资金能最大限度地发挥其作用。</w:t>
      </w:r>
    </w:p>
    <w:p>
      <w:pPr>
        <w:adjustRightInd w:val="0"/>
        <w:snapToGrid w:val="0"/>
        <w:spacing w:line="600" w:lineRule="exact"/>
        <w:ind w:firstLine="640" w:firstLineChars="200"/>
        <w:rPr>
          <w:rFonts w:eastAsia="黑体"/>
          <w:sz w:val="32"/>
          <w:szCs w:val="32"/>
        </w:rPr>
      </w:pPr>
      <w:r>
        <w:rPr>
          <w:rFonts w:hint="eastAsia" w:eastAsia="黑体"/>
          <w:sz w:val="32"/>
          <w:szCs w:val="32"/>
        </w:rPr>
        <w:t>四、预算支出绩效情况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jc w:val="both"/>
        <w:rPr>
          <w:rFonts w:hint="eastAsia" w:ascii="仿宋" w:hAnsi="仿宋" w:eastAsia="仿宋" w:cs="仿宋"/>
          <w:i w:val="0"/>
          <w:caps w:val="0"/>
          <w:color w:val="000000"/>
          <w:spacing w:val="0"/>
          <w:sz w:val="21"/>
          <w:szCs w:val="21"/>
        </w:rPr>
      </w:pPr>
      <w:r>
        <w:rPr>
          <w:rFonts w:hint="eastAsia" w:ascii="仿宋" w:hAnsi="仿宋" w:eastAsia="仿宋" w:cs="仿宋"/>
          <w:b/>
          <w:i w:val="0"/>
          <w:caps w:val="0"/>
          <w:color w:val="000000"/>
          <w:spacing w:val="0"/>
          <w:kern w:val="0"/>
          <w:sz w:val="32"/>
          <w:szCs w:val="32"/>
          <w:shd w:val="clear" w:fill="FFFFFF"/>
          <w:lang w:val="en-US" w:eastAsia="zh-CN" w:bidi="ar"/>
        </w:rPr>
        <w:t>（一）项目绩效完成情况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仿宋" w:hAnsi="仿宋" w:eastAsia="仿宋" w:cs="仿宋"/>
          <w:i w:val="0"/>
          <w:caps w:val="0"/>
          <w:color w:val="000000"/>
          <w:spacing w:val="0"/>
          <w:sz w:val="21"/>
          <w:szCs w:val="21"/>
          <w:lang w:val="en-US"/>
        </w:rPr>
      </w:pPr>
      <w:r>
        <w:rPr>
          <w:rFonts w:hint="eastAsia" w:ascii="仿宋" w:hAnsi="仿宋" w:eastAsia="仿宋" w:cs="仿宋"/>
          <w:i w:val="0"/>
          <w:caps w:val="0"/>
          <w:color w:val="000000"/>
          <w:spacing w:val="0"/>
          <w:kern w:val="0"/>
          <w:sz w:val="32"/>
          <w:szCs w:val="32"/>
          <w:shd w:val="clear" w:fill="FFFFFF"/>
          <w:lang w:val="en-US" w:eastAsia="zh-CN" w:bidi="ar"/>
        </w:rPr>
        <w:t>1、完成数量。完成高新技术培育8家，县级科技项目48家。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2、完成质量。高新技术培育完成申报，县科技项目资金落实到位。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3、完成时效。有效推动项目企业科技进步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4、完成成本。厉行节约。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jc w:val="both"/>
        <w:rPr>
          <w:rFonts w:hint="eastAsia" w:ascii="仿宋" w:hAnsi="仿宋" w:eastAsia="仿宋" w:cs="仿宋"/>
          <w:i w:val="0"/>
          <w:caps w:val="0"/>
          <w:color w:val="000000"/>
          <w:spacing w:val="0"/>
          <w:sz w:val="21"/>
          <w:szCs w:val="21"/>
        </w:rPr>
      </w:pPr>
      <w:r>
        <w:rPr>
          <w:rFonts w:hint="eastAsia" w:ascii="仿宋" w:hAnsi="仿宋" w:eastAsia="仿宋" w:cs="仿宋"/>
          <w:b/>
          <w:i w:val="0"/>
          <w:caps w:val="0"/>
          <w:color w:val="000000"/>
          <w:spacing w:val="0"/>
          <w:kern w:val="0"/>
          <w:sz w:val="32"/>
          <w:szCs w:val="32"/>
          <w:shd w:val="clear" w:fill="FFFFFF"/>
          <w:lang w:val="en-US" w:eastAsia="zh-CN" w:bidi="ar"/>
        </w:rPr>
        <w:t>（二）项目效益情况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960" w:firstLineChars="300"/>
        <w:jc w:val="both"/>
        <w:textAlignment w:val="baseline"/>
        <w:rPr>
          <w:rFonts w:hint="eastAsia" w:ascii="仿宋_GB2312" w:hAnsi="仿宋_GB2312" w:eastAsia="仿宋_GB2312" w:cs="仿宋_GB2312"/>
          <w:sz w:val="32"/>
          <w:szCs w:val="32"/>
          <w:lang w:val="en-US" w:eastAsia="zh-CN"/>
        </w:rPr>
      </w:pPr>
      <w:r>
        <w:rPr>
          <w:rFonts w:hint="eastAsia" w:ascii="仿宋" w:hAnsi="仿宋" w:eastAsia="仿宋" w:cs="仿宋"/>
          <w:i w:val="0"/>
          <w:caps w:val="0"/>
          <w:color w:val="000000"/>
          <w:spacing w:val="0"/>
          <w:sz w:val="32"/>
          <w:szCs w:val="32"/>
          <w:shd w:val="clear" w:fill="FFFFFF"/>
          <w:lang w:val="en-US" w:eastAsia="zh-CN"/>
        </w:rPr>
        <w:t>1、</w:t>
      </w:r>
      <w:r>
        <w:rPr>
          <w:rFonts w:hint="eastAsia" w:ascii="仿宋_GB2312" w:hAnsi="仿宋_GB2312" w:eastAsia="仿宋_GB2312" w:cs="仿宋_GB2312"/>
          <w:sz w:val="32"/>
          <w:szCs w:val="32"/>
          <w:lang w:val="en-US" w:eastAsia="zh-CN"/>
        </w:rPr>
        <w:t>高新技术企业培育，通过努力我县高新技术企业认定8家企业全部通过，积极协助县工业集中区申报省级高新园区。与县统计局合作，认真做好高新技术产业增加值占GDP比重全社会研发经费投入等小康绩效指标数据的统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960" w:firstLineChars="300"/>
        <w:jc w:val="both"/>
        <w:textAlignment w:val="baseline"/>
        <w:rPr>
          <w:rFonts w:hint="eastAsia" w:ascii="仿宋" w:hAnsi="仿宋" w:eastAsia="仿宋" w:cs="仿宋"/>
          <w:i w:val="0"/>
          <w:caps w:val="0"/>
          <w:color w:val="4C4C4C"/>
          <w:spacing w:val="0"/>
          <w:sz w:val="24"/>
          <w:szCs w:val="24"/>
          <w:highlight w:val="yellow"/>
        </w:rPr>
      </w:pPr>
      <w:r>
        <w:rPr>
          <w:rFonts w:hint="eastAsia" w:ascii="仿宋" w:hAnsi="仿宋" w:eastAsia="仿宋" w:cs="仿宋"/>
          <w:i w:val="0"/>
          <w:caps w:val="0"/>
          <w:color w:val="000000"/>
          <w:spacing w:val="0"/>
          <w:sz w:val="32"/>
          <w:szCs w:val="32"/>
          <w:shd w:val="clear" w:fill="FFFFFF"/>
          <w:lang w:val="en-US" w:eastAsia="zh-CN"/>
        </w:rPr>
        <w:t>2、</w:t>
      </w:r>
      <w:r>
        <w:rPr>
          <w:rFonts w:hint="eastAsia" w:ascii="仿宋_GB2312" w:hAnsi="仿宋_GB2312" w:eastAsia="仿宋_GB2312" w:cs="仿宋_GB2312"/>
          <w:sz w:val="32"/>
          <w:szCs w:val="32"/>
          <w:lang w:val="en-US" w:eastAsia="zh-CN"/>
        </w:rPr>
        <w:t>共组织实施县本级科技计划项目498项，项目资金75万元，根据科技项目建设需要，不断充实项目储备，新储备科技项目库，增强了我县申报科技项目的后劲。坚持每一个申报项目必看必评估的原则，从源头上保证申报项目的竞争力和立项项目的实际绩效，并且主动向省科技厅、市科技局领导和专家汇报，通过书面汇报，现场督导的有机结合，确保所申报项目能够促进辰溪发展。</w:t>
      </w:r>
    </w:p>
    <w:p>
      <w:pPr>
        <w:adjustRightInd w:val="0"/>
        <w:snapToGrid w:val="0"/>
        <w:spacing w:line="600" w:lineRule="exact"/>
        <w:ind w:firstLine="640" w:firstLineChars="200"/>
        <w:rPr>
          <w:rFonts w:eastAsia="黑体"/>
          <w:sz w:val="32"/>
          <w:szCs w:val="32"/>
        </w:rPr>
      </w:pPr>
      <w:r>
        <w:rPr>
          <w:rFonts w:hint="eastAsia" w:eastAsia="黑体"/>
          <w:sz w:val="32"/>
          <w:szCs w:val="32"/>
        </w:rPr>
        <w:t>五、主要经验做法、存在的问题及原因分析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kern w:val="0"/>
          <w:sz w:val="32"/>
          <w:szCs w:val="32"/>
          <w:shd w:val="clear" w:fill="FFFFFF"/>
          <w:lang w:val="en-US" w:eastAsia="zh-CN" w:bidi="ar"/>
        </w:rPr>
        <w:t>（一）县财政资金困难，无法完成按省市要求的进行科技资金投入</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i w:val="0"/>
          <w:caps w:val="0"/>
          <w:color w:val="333333"/>
          <w:spacing w:val="0"/>
          <w:sz w:val="31"/>
          <w:szCs w:val="31"/>
          <w:shd w:val="clear" w:fill="FFFFFF"/>
          <w:lang w:val="en-US" w:eastAsia="zh-CN"/>
        </w:rPr>
      </w:pPr>
      <w:r>
        <w:rPr>
          <w:rFonts w:hint="eastAsia" w:ascii="仿宋" w:hAnsi="仿宋" w:eastAsia="仿宋" w:cs="仿宋"/>
          <w:b w:val="0"/>
          <w:bCs/>
          <w:i w:val="0"/>
          <w:caps w:val="0"/>
          <w:color w:val="000000"/>
          <w:spacing w:val="0"/>
          <w:kern w:val="0"/>
          <w:sz w:val="32"/>
          <w:szCs w:val="32"/>
          <w:shd w:val="clear" w:fill="FFFFFF"/>
          <w:lang w:val="en-US" w:eastAsia="zh-CN" w:bidi="ar"/>
        </w:rPr>
        <w:t>（二）</w:t>
      </w:r>
      <w:r>
        <w:rPr>
          <w:rFonts w:hint="eastAsia" w:ascii="仿宋" w:hAnsi="仿宋" w:eastAsia="仿宋" w:cs="仿宋"/>
          <w:i w:val="0"/>
          <w:caps w:val="0"/>
          <w:color w:val="333333"/>
          <w:spacing w:val="0"/>
          <w:sz w:val="31"/>
          <w:szCs w:val="31"/>
          <w:shd w:val="clear" w:fill="FFFFFF"/>
          <w:lang w:val="en-US" w:eastAsia="zh-CN"/>
        </w:rPr>
        <w:t>建议</w:t>
      </w:r>
      <w:r>
        <w:rPr>
          <w:rFonts w:hint="eastAsia" w:ascii="仿宋" w:hAnsi="仿宋" w:eastAsia="仿宋" w:cs="仿宋"/>
          <w:i w:val="0"/>
          <w:caps w:val="0"/>
          <w:color w:val="333333"/>
          <w:spacing w:val="0"/>
          <w:sz w:val="31"/>
          <w:szCs w:val="31"/>
          <w:shd w:val="clear" w:fill="FFFFFF"/>
          <w:lang w:eastAsia="zh-CN"/>
        </w:rPr>
        <w:t>加大科技投入</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、其他需要说明的问题</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无</w:t>
      </w:r>
    </w:p>
    <w:p>
      <w:pPr>
        <w:keepNext w:val="0"/>
        <w:keepLines w:val="0"/>
        <w:pageBreakBefore w:val="0"/>
        <w:widowControl/>
        <w:kinsoku/>
        <w:wordWrap/>
        <w:overflowPunct/>
        <w:topLinePunct w:val="0"/>
        <w:autoSpaceDE/>
        <w:autoSpaceDN/>
        <w:bidi w:val="0"/>
        <w:adjustRightInd/>
        <w:snapToGrid/>
        <w:spacing w:line="500" w:lineRule="exact"/>
        <w:ind w:firstLine="4800" w:firstLineChars="1600"/>
        <w:jc w:val="both"/>
        <w:textAlignment w:val="auto"/>
        <w:rPr>
          <w:rFonts w:hint="eastAsia" w:ascii="仿宋" w:hAnsi="仿宋" w:eastAsia="仿宋" w:cs="仿宋"/>
          <w:sz w:val="30"/>
          <w:szCs w:val="30"/>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0" w:firstLineChars="1600"/>
        <w:jc w:val="both"/>
        <w:textAlignment w:val="auto"/>
        <w:rPr>
          <w:rFonts w:hint="eastAsia" w:ascii="仿宋" w:hAnsi="仿宋" w:eastAsia="仿宋" w:cs="仿宋"/>
          <w:sz w:val="30"/>
          <w:szCs w:val="30"/>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0" w:firstLineChars="16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辰溪县科学技术局</w:t>
      </w:r>
    </w:p>
    <w:p>
      <w:pPr>
        <w:keepNext w:val="0"/>
        <w:keepLines w:val="0"/>
        <w:pageBreakBefore w:val="0"/>
        <w:widowControl/>
        <w:kinsoku/>
        <w:wordWrap/>
        <w:overflowPunct/>
        <w:topLinePunct w:val="0"/>
        <w:autoSpaceDE/>
        <w:autoSpaceDN/>
        <w:bidi w:val="0"/>
        <w:adjustRightInd/>
        <w:snapToGrid/>
        <w:spacing w:line="500" w:lineRule="exact"/>
        <w:ind w:firstLine="5100" w:firstLineChars="1700"/>
        <w:jc w:val="both"/>
        <w:textAlignment w:val="auto"/>
        <w:rPr>
          <w:rFonts w:hint="eastAsia" w:eastAsia="仿宋_GB2312"/>
          <w:sz w:val="32"/>
          <w:szCs w:val="32"/>
          <w:lang w:eastAsia="zh-CN"/>
        </w:rPr>
      </w:pPr>
      <w:r>
        <w:rPr>
          <w:rFonts w:hint="eastAsia" w:ascii="仿宋" w:hAnsi="仿宋" w:eastAsia="仿宋" w:cs="仿宋"/>
          <w:sz w:val="30"/>
          <w:szCs w:val="30"/>
          <w:lang w:val="en-US" w:eastAsia="zh-CN"/>
        </w:rPr>
        <w:t>2021年9月8日</w:t>
      </w:r>
    </w:p>
    <w:sectPr>
      <w:pgSz w:w="11906" w:h="16838"/>
      <w:pgMar w:top="468"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DD43A"/>
    <w:multiLevelType w:val="singleLevel"/>
    <w:tmpl w:val="0C0DD43A"/>
    <w:lvl w:ilvl="0" w:tentative="0">
      <w:start w:val="1"/>
      <w:numFmt w:val="chineseCounting"/>
      <w:suff w:val="nothing"/>
      <w:lvlText w:val="（%1）"/>
      <w:lvlJc w:val="left"/>
      <w:pPr>
        <w:ind w:left="100"/>
      </w:pPr>
      <w:rPr>
        <w:rFonts w:hint="eastAsia"/>
      </w:rPr>
    </w:lvl>
  </w:abstractNum>
  <w:abstractNum w:abstractNumId="1">
    <w:nsid w:val="1B9E3271"/>
    <w:multiLevelType w:val="singleLevel"/>
    <w:tmpl w:val="1B9E3271"/>
    <w:lvl w:ilvl="0" w:tentative="0">
      <w:start w:val="1"/>
      <w:numFmt w:val="chineseCounting"/>
      <w:suff w:val="nothing"/>
      <w:lvlText w:val="%1、"/>
      <w:lvlJc w:val="left"/>
      <w:rPr>
        <w:rFonts w:hint="eastAsia"/>
      </w:rPr>
    </w:lvl>
  </w:abstractNum>
  <w:abstractNum w:abstractNumId="2">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3">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4">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5">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A1"/>
    <w:rsid w:val="000000A5"/>
    <w:rsid w:val="00022046"/>
    <w:rsid w:val="00037FEA"/>
    <w:rsid w:val="000B0765"/>
    <w:rsid w:val="000B57BC"/>
    <w:rsid w:val="001107A7"/>
    <w:rsid w:val="00162440"/>
    <w:rsid w:val="00174EEF"/>
    <w:rsid w:val="001A127E"/>
    <w:rsid w:val="00234476"/>
    <w:rsid w:val="002530C6"/>
    <w:rsid w:val="002558F7"/>
    <w:rsid w:val="0031755D"/>
    <w:rsid w:val="003711D0"/>
    <w:rsid w:val="00377767"/>
    <w:rsid w:val="00377A33"/>
    <w:rsid w:val="00396AAA"/>
    <w:rsid w:val="003E5114"/>
    <w:rsid w:val="00426627"/>
    <w:rsid w:val="004869C4"/>
    <w:rsid w:val="00487B29"/>
    <w:rsid w:val="00493979"/>
    <w:rsid w:val="005833DD"/>
    <w:rsid w:val="00595424"/>
    <w:rsid w:val="00597FBB"/>
    <w:rsid w:val="005A4AB0"/>
    <w:rsid w:val="00614437"/>
    <w:rsid w:val="00634126"/>
    <w:rsid w:val="006370F0"/>
    <w:rsid w:val="006811E5"/>
    <w:rsid w:val="006A57F6"/>
    <w:rsid w:val="006B5E37"/>
    <w:rsid w:val="007B54D9"/>
    <w:rsid w:val="00822DA2"/>
    <w:rsid w:val="00887C00"/>
    <w:rsid w:val="008A4834"/>
    <w:rsid w:val="008D7141"/>
    <w:rsid w:val="008D77F4"/>
    <w:rsid w:val="00947E30"/>
    <w:rsid w:val="009677C0"/>
    <w:rsid w:val="009A29A3"/>
    <w:rsid w:val="009D3359"/>
    <w:rsid w:val="009D4AE4"/>
    <w:rsid w:val="00A045A1"/>
    <w:rsid w:val="00A070E1"/>
    <w:rsid w:val="00A317C9"/>
    <w:rsid w:val="00A3605E"/>
    <w:rsid w:val="00A75C37"/>
    <w:rsid w:val="00A865A7"/>
    <w:rsid w:val="00A86D65"/>
    <w:rsid w:val="00AA700A"/>
    <w:rsid w:val="00B364CE"/>
    <w:rsid w:val="00B56634"/>
    <w:rsid w:val="00BB062F"/>
    <w:rsid w:val="00BB55FB"/>
    <w:rsid w:val="00BB6107"/>
    <w:rsid w:val="00BC61F7"/>
    <w:rsid w:val="00BD1C3A"/>
    <w:rsid w:val="00BF151A"/>
    <w:rsid w:val="00C00CAD"/>
    <w:rsid w:val="00C25716"/>
    <w:rsid w:val="00C3391C"/>
    <w:rsid w:val="00C344EC"/>
    <w:rsid w:val="00C4552C"/>
    <w:rsid w:val="00C72139"/>
    <w:rsid w:val="00C743CE"/>
    <w:rsid w:val="00CA4203"/>
    <w:rsid w:val="00CC4C2C"/>
    <w:rsid w:val="00CD20A2"/>
    <w:rsid w:val="00D10324"/>
    <w:rsid w:val="00D42786"/>
    <w:rsid w:val="00E127F9"/>
    <w:rsid w:val="00E50869"/>
    <w:rsid w:val="00F318D3"/>
    <w:rsid w:val="00F45BFB"/>
    <w:rsid w:val="00F55CD7"/>
    <w:rsid w:val="00FC7FE9"/>
    <w:rsid w:val="01464815"/>
    <w:rsid w:val="016B78E7"/>
    <w:rsid w:val="03FF2D49"/>
    <w:rsid w:val="04784BC6"/>
    <w:rsid w:val="06780CBC"/>
    <w:rsid w:val="06CC7526"/>
    <w:rsid w:val="075347A4"/>
    <w:rsid w:val="080930F2"/>
    <w:rsid w:val="096C1F19"/>
    <w:rsid w:val="0AEF2666"/>
    <w:rsid w:val="0B3D58E4"/>
    <w:rsid w:val="0C3953DB"/>
    <w:rsid w:val="0D160AE0"/>
    <w:rsid w:val="108E505D"/>
    <w:rsid w:val="11FA5A99"/>
    <w:rsid w:val="12785E76"/>
    <w:rsid w:val="17084F1D"/>
    <w:rsid w:val="1A22656C"/>
    <w:rsid w:val="1A677662"/>
    <w:rsid w:val="1AD5224D"/>
    <w:rsid w:val="1FE948F4"/>
    <w:rsid w:val="20854423"/>
    <w:rsid w:val="21105D0C"/>
    <w:rsid w:val="2AB87A3E"/>
    <w:rsid w:val="2BBF402B"/>
    <w:rsid w:val="2C8D0221"/>
    <w:rsid w:val="2D88432B"/>
    <w:rsid w:val="2DEF4815"/>
    <w:rsid w:val="2E157D24"/>
    <w:rsid w:val="300D3A9D"/>
    <w:rsid w:val="30897713"/>
    <w:rsid w:val="32185DBB"/>
    <w:rsid w:val="32F97F05"/>
    <w:rsid w:val="33030BD6"/>
    <w:rsid w:val="33177DD9"/>
    <w:rsid w:val="337D55DB"/>
    <w:rsid w:val="338A181E"/>
    <w:rsid w:val="34370C69"/>
    <w:rsid w:val="346409FD"/>
    <w:rsid w:val="35085D0D"/>
    <w:rsid w:val="356749D5"/>
    <w:rsid w:val="38180012"/>
    <w:rsid w:val="382E1769"/>
    <w:rsid w:val="38471B87"/>
    <w:rsid w:val="3B532E64"/>
    <w:rsid w:val="3C3A42E4"/>
    <w:rsid w:val="40A07ED1"/>
    <w:rsid w:val="42BD788E"/>
    <w:rsid w:val="42DA1D41"/>
    <w:rsid w:val="44704B5E"/>
    <w:rsid w:val="45512B3E"/>
    <w:rsid w:val="46247D05"/>
    <w:rsid w:val="49EB7A23"/>
    <w:rsid w:val="4B207C9B"/>
    <w:rsid w:val="4DC3603A"/>
    <w:rsid w:val="4DE445C5"/>
    <w:rsid w:val="4DF93A0B"/>
    <w:rsid w:val="4E017059"/>
    <w:rsid w:val="4E491029"/>
    <w:rsid w:val="4F0157EF"/>
    <w:rsid w:val="4F1C23F5"/>
    <w:rsid w:val="53625620"/>
    <w:rsid w:val="539C1A3D"/>
    <w:rsid w:val="55CE75C5"/>
    <w:rsid w:val="57906817"/>
    <w:rsid w:val="5A537B79"/>
    <w:rsid w:val="5A9C3ECF"/>
    <w:rsid w:val="5B84159F"/>
    <w:rsid w:val="5D422039"/>
    <w:rsid w:val="5D745A66"/>
    <w:rsid w:val="5D8661FE"/>
    <w:rsid w:val="5DF82DAD"/>
    <w:rsid w:val="5E3459A4"/>
    <w:rsid w:val="5E553CE7"/>
    <w:rsid w:val="601224A5"/>
    <w:rsid w:val="607B6CAB"/>
    <w:rsid w:val="60901446"/>
    <w:rsid w:val="64284E95"/>
    <w:rsid w:val="646B2151"/>
    <w:rsid w:val="650F2104"/>
    <w:rsid w:val="675B6EE5"/>
    <w:rsid w:val="68FD4B52"/>
    <w:rsid w:val="6AA03DFD"/>
    <w:rsid w:val="6B56661C"/>
    <w:rsid w:val="6C021E51"/>
    <w:rsid w:val="6FDB054E"/>
    <w:rsid w:val="72777028"/>
    <w:rsid w:val="7B9C4B5F"/>
    <w:rsid w:val="7BF74BF8"/>
    <w:rsid w:val="7C1B4BAA"/>
    <w:rsid w:val="7C984872"/>
    <w:rsid w:val="7D2E27C0"/>
    <w:rsid w:val="7D724728"/>
    <w:rsid w:val="7E4F30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8">
    <w:name w:val="FollowedHyperlink"/>
    <w:basedOn w:val="7"/>
    <w:semiHidden/>
    <w:unhideWhenUsed/>
    <w:qFormat/>
    <w:uiPriority w:val="99"/>
    <w:rPr>
      <w:color w:val="333333"/>
      <w:u w:val="none"/>
    </w:rPr>
  </w:style>
  <w:style w:type="character" w:styleId="9">
    <w:name w:val="Emphasis"/>
    <w:basedOn w:val="7"/>
    <w:qFormat/>
    <w:locked/>
    <w:uiPriority w:val="0"/>
    <w:rPr>
      <w:rFonts w:hint="eastAsia" w:ascii="微软雅黑" w:hAnsi="微软雅黑" w:eastAsia="微软雅黑" w:cs="微软雅黑"/>
    </w:rPr>
  </w:style>
  <w:style w:type="character" w:styleId="10">
    <w:name w:val="Hyperlink"/>
    <w:basedOn w:val="7"/>
    <w:semiHidden/>
    <w:unhideWhenUsed/>
    <w:qFormat/>
    <w:uiPriority w:val="99"/>
    <w:rPr>
      <w:color w:val="333333"/>
      <w:u w:val="none"/>
    </w:rPr>
  </w:style>
  <w:style w:type="character" w:customStyle="1" w:styleId="11">
    <w:name w:val="Header Char"/>
    <w:basedOn w:val="7"/>
    <w:link w:val="4"/>
    <w:semiHidden/>
    <w:qFormat/>
    <w:locked/>
    <w:uiPriority w:val="99"/>
    <w:rPr>
      <w:rFonts w:cs="Times New Roman"/>
      <w:sz w:val="18"/>
      <w:szCs w:val="18"/>
    </w:rPr>
  </w:style>
  <w:style w:type="character" w:customStyle="1" w:styleId="12">
    <w:name w:val="Footer Char"/>
    <w:basedOn w:val="7"/>
    <w:link w:val="3"/>
    <w:semiHidden/>
    <w:qFormat/>
    <w:locked/>
    <w:uiPriority w:val="99"/>
    <w:rPr>
      <w:rFonts w:cs="Times New Roman"/>
      <w:sz w:val="18"/>
      <w:szCs w:val="18"/>
    </w:rPr>
  </w:style>
  <w:style w:type="paragraph" w:styleId="13">
    <w:name w:val="List Paragraph"/>
    <w:basedOn w:val="1"/>
    <w:qFormat/>
    <w:uiPriority w:val="99"/>
    <w:pPr>
      <w:ind w:firstLine="420" w:firstLineChars="200"/>
    </w:pPr>
    <w:rPr>
      <w:rFonts w:ascii="Calibri" w:hAnsi="Calibri"/>
      <w:szCs w:val="22"/>
    </w:rPr>
  </w:style>
  <w:style w:type="paragraph" w:customStyle="1" w:styleId="14">
    <w:name w:val="p48"/>
    <w:basedOn w:val="1"/>
    <w:qFormat/>
    <w:uiPriority w:val="0"/>
    <w:pPr>
      <w:widowControl/>
    </w:pPr>
    <w:rPr>
      <w:kern w:val="0"/>
      <w:szCs w:val="21"/>
    </w:rPr>
  </w:style>
  <w:style w:type="character" w:customStyle="1" w:styleId="15">
    <w:name w:val="note1 Char"/>
    <w:link w:val="16"/>
    <w:qFormat/>
    <w:uiPriority w:val="0"/>
    <w:rPr>
      <w:rFonts w:ascii="宋体" w:hAnsi="宋体" w:cs="宋体"/>
      <w:color w:val="666666"/>
      <w:kern w:val="0"/>
      <w:sz w:val="24"/>
    </w:rPr>
  </w:style>
  <w:style w:type="paragraph" w:customStyle="1" w:styleId="16">
    <w:name w:val="note1"/>
    <w:basedOn w:val="1"/>
    <w:link w:val="15"/>
    <w:qFormat/>
    <w:uiPriority w:val="0"/>
    <w:pPr>
      <w:widowControl/>
      <w:shd w:val="clear" w:color="auto" w:fill="F9F9F9"/>
      <w:spacing w:before="375" w:after="375" w:line="540" w:lineRule="atLeast"/>
      <w:jc w:val="center"/>
    </w:pPr>
    <w:rPr>
      <w:rFonts w:ascii="宋体" w:hAnsi="宋体" w:cs="宋体"/>
      <w:color w:val="666666"/>
      <w:kern w:val="0"/>
      <w:sz w:val="24"/>
    </w:rPr>
  </w:style>
  <w:style w:type="character" w:customStyle="1" w:styleId="17">
    <w:name w:val="bsharetext"/>
    <w:basedOn w:val="7"/>
    <w:qFormat/>
    <w:uiPriority w:val="0"/>
  </w:style>
  <w:style w:type="character" w:customStyle="1" w:styleId="18">
    <w:name w:val="last"/>
    <w:basedOn w:val="7"/>
    <w:qFormat/>
    <w:uiPriority w:val="0"/>
  </w:style>
  <w:style w:type="character" w:customStyle="1" w:styleId="19">
    <w:name w:val="after"/>
    <w:basedOn w:val="7"/>
    <w:qFormat/>
    <w:uiPriority w:val="0"/>
    <w:rPr>
      <w:shd w:val="clear" w:fill="FFFFFF"/>
    </w:rPr>
  </w:style>
  <w:style w:type="character" w:customStyle="1" w:styleId="20">
    <w:name w:val="text"/>
    <w:basedOn w:val="7"/>
    <w:qFormat/>
    <w:uiPriority w:val="0"/>
    <w:rPr>
      <w:color w:val="666666"/>
    </w:rPr>
  </w:style>
  <w:style w:type="character" w:customStyle="1" w:styleId="21">
    <w:name w:val="hover19"/>
    <w:basedOn w:val="7"/>
    <w:qFormat/>
    <w:uiPriority w:val="0"/>
    <w:rPr>
      <w:color w:val="000000"/>
      <w:shd w:val="clear" w:fill="FFFFFF"/>
    </w:rPr>
  </w:style>
  <w:style w:type="character" w:customStyle="1" w:styleId="22">
    <w:name w:val="wx-space"/>
    <w:basedOn w:val="7"/>
    <w:qFormat/>
    <w:uiPriority w:val="0"/>
  </w:style>
  <w:style w:type="character" w:customStyle="1" w:styleId="23">
    <w:name w:val="wx-space1"/>
    <w:basedOn w:val="7"/>
    <w:qFormat/>
    <w:uiPriority w:val="0"/>
  </w:style>
  <w:style w:type="character" w:customStyle="1" w:styleId="24">
    <w:name w:val="hover20"/>
    <w:basedOn w:val="7"/>
    <w:qFormat/>
    <w:uiPriority w:val="0"/>
    <w:rPr>
      <w:color w:val="000000"/>
      <w:shd w:val="clear" w:fill="FFFFFF"/>
    </w:rPr>
  </w:style>
  <w:style w:type="paragraph" w:customStyle="1" w:styleId="2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16</Pages>
  <Words>1301</Words>
  <Characters>7417</Characters>
  <Lines>0</Lines>
  <Paragraphs>0</Paragraphs>
  <TotalTime>14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2021-01-21T07:46:00Z</dcterms:created>
  <dc:creator>AutoBVT</dc:creator>
  <cp:lastModifiedBy>Administrator</cp:lastModifiedBy>
  <cp:lastPrinted>2021-01-21T01:26:00Z</cp:lastPrinted>
  <dcterms:modified xsi:type="dcterms:W3CDTF">2021-09-09T02:53:28Z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A2BCA379F2424F7CBE7C1631E2689056</vt:lpwstr>
  </property>
</Properties>
</file>