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辰溪县住建局整体支出绩效自评</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报  告</w:t>
      </w:r>
    </w:p>
    <w:p>
      <w:pPr>
        <w:jc w:val="center"/>
        <w:rPr>
          <w:rFonts w:asciiTheme="majorEastAsia" w:hAnsiTheme="majorEastAsia" w:eastAsiaTheme="majorEastAsia"/>
          <w:b/>
          <w:sz w:val="44"/>
          <w:szCs w:val="44"/>
        </w:rPr>
      </w:pPr>
    </w:p>
    <w:p>
      <w:pPr>
        <w:pStyle w:val="6"/>
        <w:numPr>
          <w:ilvl w:val="0"/>
          <w:numId w:val="0"/>
        </w:numPr>
        <w:ind w:left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eastAsia="zh-CN"/>
        </w:rPr>
        <w:t>　　　一、</w:t>
      </w:r>
      <w:r>
        <w:rPr>
          <w:rFonts w:hint="eastAsia" w:asciiTheme="minorEastAsia" w:hAnsiTheme="minorEastAsia" w:eastAsiaTheme="minorEastAsia"/>
          <w:b/>
          <w:bCs/>
          <w:sz w:val="28"/>
          <w:szCs w:val="28"/>
        </w:rPr>
        <w:t>部门概况</w:t>
      </w:r>
    </w:p>
    <w:p>
      <w:pPr>
        <w:widowControl/>
        <w:shd w:val="clear" w:color="auto" w:fill="FFFFFF"/>
        <w:spacing w:line="420" w:lineRule="atLeast"/>
        <w:ind w:left="578"/>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(一)</w:t>
      </w:r>
      <w:r>
        <w:rPr>
          <w:rFonts w:hint="eastAsia" w:asciiTheme="minorEastAsia" w:hAnsiTheme="minorEastAsia" w:eastAsiaTheme="minorEastAsia"/>
          <w:color w:val="000000"/>
          <w:kern w:val="0"/>
          <w:sz w:val="28"/>
          <w:szCs w:val="28"/>
          <w:lang w:eastAsia="zh-CN"/>
        </w:rPr>
        <w:t>部门基本</w:t>
      </w:r>
      <w:r>
        <w:rPr>
          <w:rFonts w:hint="eastAsia" w:asciiTheme="minorEastAsia" w:hAnsiTheme="minorEastAsia" w:eastAsiaTheme="minorEastAsia"/>
          <w:color w:val="000000"/>
          <w:kern w:val="0"/>
          <w:sz w:val="28"/>
          <w:szCs w:val="28"/>
        </w:rPr>
        <w:t>情况</w:t>
      </w:r>
    </w:p>
    <w:p>
      <w:pPr>
        <w:widowControl/>
        <w:shd w:val="clear" w:color="auto" w:fill="FFFFFF"/>
        <w:spacing w:line="420" w:lineRule="atLeast"/>
        <w:ind w:left="578" w:leftChars="275" w:firstLine="320" w:firstLineChars="1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我局现有在编人数5</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人，公务员</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人,事业编制</w:t>
      </w:r>
      <w:r>
        <w:rPr>
          <w:rFonts w:hint="eastAsia" w:ascii="仿宋" w:hAnsi="仿宋" w:eastAsia="仿宋" w:cs="仿宋"/>
          <w:color w:val="000000"/>
          <w:kern w:val="0"/>
          <w:sz w:val="32"/>
          <w:szCs w:val="32"/>
          <w:lang w:val="en-US" w:eastAsia="zh-CN"/>
        </w:rPr>
        <w:t>40</w:t>
      </w:r>
    </w:p>
    <w:p>
      <w:pPr>
        <w:widowControl/>
        <w:shd w:val="clear" w:color="auto" w:fill="FFFFFF"/>
        <w:spacing w:line="42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人，下属事业单位辰溪县人民防空办公室、县建筑业服务中心、县建筑工程质量安全监督站、县建设工程招标投标管理办公室、县燃气管理站、县城市污水处理监督管理站等单位。各下属单位实行独立核算机制。</w:t>
      </w:r>
    </w:p>
    <w:p>
      <w:pPr>
        <w:widowControl/>
        <w:numPr>
          <w:ilvl w:val="0"/>
          <w:numId w:val="0"/>
        </w:numPr>
        <w:spacing w:line="600" w:lineRule="exact"/>
        <w:ind w:right="-210" w:rightChars="-100"/>
        <w:jc w:val="left"/>
        <w:rPr>
          <w:rFonts w:hint="eastAsia" w:asciiTheme="minorEastAsia" w:hAnsiTheme="minorEastAsia" w:eastAsiaTheme="minorEastAsia"/>
          <w:b w:val="0"/>
          <w:bCs w:val="0"/>
          <w:kern w:val="0"/>
          <w:sz w:val="28"/>
          <w:szCs w:val="28"/>
          <w:lang w:eastAsia="zh-CN"/>
        </w:rPr>
      </w:pPr>
      <w:r>
        <w:rPr>
          <w:rFonts w:hint="eastAsia" w:asciiTheme="minorEastAsia" w:hAnsiTheme="minorEastAsia" w:eastAsiaTheme="minorEastAsia"/>
          <w:b/>
          <w:bCs/>
          <w:kern w:val="0"/>
          <w:sz w:val="28"/>
          <w:szCs w:val="28"/>
          <w:lang w:eastAsia="zh-CN"/>
        </w:rPr>
        <w:t>　　（</w:t>
      </w:r>
      <w:r>
        <w:rPr>
          <w:rFonts w:hint="eastAsia" w:asciiTheme="minorEastAsia" w:hAnsiTheme="minorEastAsia" w:eastAsiaTheme="minorEastAsia"/>
          <w:b w:val="0"/>
          <w:bCs w:val="0"/>
          <w:kern w:val="0"/>
          <w:sz w:val="28"/>
          <w:szCs w:val="28"/>
          <w:lang w:eastAsia="zh-CN"/>
        </w:rPr>
        <w:t>二）</w:t>
      </w:r>
      <w:r>
        <w:rPr>
          <w:rFonts w:hint="eastAsia" w:asciiTheme="minorEastAsia" w:hAnsiTheme="minorEastAsia" w:eastAsiaTheme="minorEastAsia"/>
          <w:b w:val="0"/>
          <w:bCs w:val="0"/>
          <w:kern w:val="0"/>
          <w:sz w:val="28"/>
          <w:szCs w:val="28"/>
        </w:rPr>
        <w:t>部门</w:t>
      </w:r>
      <w:r>
        <w:rPr>
          <w:rFonts w:hint="eastAsia" w:asciiTheme="minorEastAsia" w:hAnsiTheme="minorEastAsia" w:eastAsiaTheme="minorEastAsia"/>
          <w:b w:val="0"/>
          <w:bCs w:val="0"/>
          <w:kern w:val="0"/>
          <w:sz w:val="28"/>
          <w:szCs w:val="28"/>
          <w:lang w:eastAsia="zh-CN"/>
        </w:rPr>
        <w:t>整体支出规模、使用方向和主要内容、涉及范围等。</w:t>
      </w:r>
    </w:p>
    <w:p>
      <w:pPr>
        <w:widowControl/>
        <w:numPr>
          <w:ilvl w:val="0"/>
          <w:numId w:val="0"/>
        </w:numPr>
        <w:spacing w:line="600" w:lineRule="exact"/>
        <w:ind w:right="-210" w:rightChars="-100"/>
        <w:jc w:val="left"/>
        <w:rPr>
          <w:rFonts w:hint="eastAsia" w:ascii="仿宋" w:hAnsi="仿宋" w:eastAsia="仿宋" w:cs="仿宋"/>
          <w:color w:val="000000"/>
          <w:kern w:val="0"/>
          <w:sz w:val="32"/>
          <w:szCs w:val="32"/>
        </w:rPr>
      </w:pPr>
      <w:r>
        <w:rPr>
          <w:rFonts w:hint="eastAsia" w:asciiTheme="minorEastAsia" w:hAnsiTheme="minorEastAsia" w:eastAsiaTheme="minorEastAsia"/>
          <w:b/>
          <w:bCs/>
          <w:kern w:val="0"/>
          <w:sz w:val="28"/>
          <w:szCs w:val="28"/>
          <w:lang w:eastAsia="zh-CN"/>
        </w:rPr>
        <w:t>　　</w:t>
      </w:r>
      <w:r>
        <w:rPr>
          <w:rFonts w:hint="eastAsia" w:asciiTheme="minorEastAsia" w:hAnsiTheme="minorEastAsia" w:eastAsiaTheme="minorEastAsia"/>
          <w:b w:val="0"/>
          <w:bCs w:val="0"/>
          <w:kern w:val="0"/>
          <w:sz w:val="28"/>
          <w:szCs w:val="28"/>
          <w:lang w:eastAsia="zh-CN"/>
        </w:rPr>
        <w:t>　</w:t>
      </w:r>
      <w:r>
        <w:rPr>
          <w:rFonts w:hint="eastAsia" w:asciiTheme="minorEastAsia" w:hAnsiTheme="minorEastAsia" w:eastAsiaTheme="minorEastAsia"/>
          <w:b w:val="0"/>
          <w:bCs w:val="0"/>
          <w:kern w:val="0"/>
          <w:sz w:val="28"/>
          <w:szCs w:val="28"/>
          <w:lang w:val="en-US" w:eastAsia="zh-CN"/>
        </w:rPr>
        <w:t>1、</w:t>
      </w:r>
      <w:r>
        <w:rPr>
          <w:rFonts w:hint="eastAsia" w:ascii="仿宋" w:hAnsi="仿宋" w:eastAsia="仿宋" w:cs="仿宋"/>
          <w:color w:val="000000"/>
          <w:kern w:val="0"/>
          <w:sz w:val="32"/>
          <w:szCs w:val="32"/>
        </w:rPr>
        <w:t>承担牵头推进新型城市化战略的日常工作。拟订全县推进新型城市化、城乡建设、住房保障、工程建设、建筑业住宅房地产业、勘察设计咨询业的规范性文件以及相关的发展战略，中长期规划及年度计划并指导实施，并进行行业管理；2、根据国家批准的防护类别、防护标准，会同有关部门拟定人民防空建设与城市建设相结合规划并组织实施，审核城市地下空间开发利用的规划；负责城市地下空间开发利用兼顾人民防空要求的管理和监督检查；制订城市防空袭方案，承担政府赋予的应急救援任务，利用人民防空设施和人民防空专业队伍为应急救援服务，指导群众防空组织（人民防空专业队）建设和训练、防空防灾演习演练、疏散体系建设，协助军事部门指导城市防卫建设；3、承担规范、监督和管理房地产开发市场的责任；4、承担城镇低收入家庭住房保障的责任；5、负责制定房屋交易政策、规章制度并监督执行；6、承担建立科学规范的工程建设标准体系的责任；7、负责监督和管理全县建筑活动；8、负责组织协调建设企业参与国际、国内工程承包、建筑劳务合作，指导建筑企业开拓县内外建筑市场；9、负责县城规划区内城市基础设施的建设和一定规模的城市扩建和改建工程；负责全县燃气管理工作；指导城市地下空间的规划、勘察设计、工程质量及开发和利用；10、负责国家、省、市、县重点建设项目施工阶段的综合管理、组织协调工作；11、负责对建设工程勘察、设计活动实施监督管理；负责对房屋建筑工程、市政基础设施工程施工图设计文件中涉及公共利益、公众安全、工程建设强制性标准的内容进行审查；负责建设工程消防设计审查、消防验收、备案、监督抽查等工作；12、承担规范和指导村镇建设的责任；13、承担推进全县建筑节能与建设科技进步的责任；14、编制县本级人民防空经费预决算；负责城建资金、新型城镇化资金、人民防空经费的使用监督和管理；负责城市基础设施配套费、人防易地建设费等建设、人防行业行政规费的征收工作；15、负责建筑施工企业、勘察设计企业、房地产开发企业等建设类企业的资质管理；16、负责全县城市建设执法和房建开发执法工作；17、负责全县建筑装饰装修行业质量安全监督和管理，负责装饰装修行业的执业资格审核；18、拟订行业人才发展规划，负责建设行业人才队伍建设；19、负责局机关和所属事业单位的宣传教育、机构编制、干部人事、纪检监察、计划生育、社会治安综合治理、精神文明和法制建设工作；20、组织开展人民防空执法工作和执法稽查；21、完成县委、县人民政府、县人武部和国防动员委员会交办的其他任务；县住建局（县人防办）设下列内设机构：</w:t>
      </w:r>
    </w:p>
    <w:p>
      <w:pPr>
        <w:widowControl/>
        <w:numPr>
          <w:ilvl w:val="0"/>
          <w:numId w:val="1"/>
        </w:numPr>
        <w:shd w:val="clear" w:color="auto" w:fill="FFFFFF"/>
        <w:spacing w:line="420"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办公室（人事财务股）。负责全县建设行业改革方案的制定并督促实施；组织重大综合性调查研究；负责起草局机关重要文稿；负责局机关政务工作的组织协调、督查督办、文电处理、新闻宣传、对外联络和后勤服务工作；负责局机关重要会议的组织协调、文书档案管理工作；2、城乡建设管理股。研究拟订全县城乡建设发展战略、中长期规划及年度计划、改革措施、管理办法；负责城市市政基础设施新建、改建、扩建工程项目的立项报批、招标投标、安全生产、工程质量管理；组织和参与市政工程重大质量、安全事故的调查处理；负责城市燃气、供水、计划用水、节约用水的行业管理工作；指导和监督镇、乡和村庄建设；指导村庄整治、农村住房建设和危房改造；指导镇、乡和村庄污水处理、生活垃圾治理和人居生态环境的改善工作；参与省、市重点镇（村）的建设工作；承担对历史文化名城、名镇、名街、名村和传统村落及重点镇、特色镇、重点村的审核上报和后续建设过程中的监督工作；3、行政审批服务股。负责本部门所有行政事项和同意受理、登记、申报资料初审及办结事项的缴费、制证（文）、盖章、发证（文)等服务工作；并进驻县政务中心办公；负责对即办件、只需进行书面审查即可做出决定的事项的审批；4、建筑工程管理股。负责制定全县建筑施工企业（含外来施工企业）、建筑安装企业、建筑制品企业、建设监理单位管理工作以及企业资质和专业人员执业资格的审查、申报、审批工作；指导和规范全县建筑市场；负责建设项目的建筑施工许可证核发工作；负责城市基础设施配套费的核算工作；5、人防指挥通信股。组织县防空袭预案及各种保障方案的制定、修订并督促落实；制定全县人民防空通信、警报及信息化建设规划，指导全县人民防空指挥、通信和警报设施的建设、使用、维护和管理工作；6、人防工程管理股（战备物资管理股）。负责编制全县人民防空工程建设中长期规划和年度计划并组织实施；参与城市地下空间开发利用规划和编制；负责城市地下空间开发利用兼顾人民防空要求的管理和监督检查；负责全县人防易地建设费的核算工作；战时负责组织人民防空工程平战转换计划实施和恢复损毁人民防空工程；7、政策法规股。负责行政执法监督和行政应诉工作；负责法制建设和普法、依法治理工作；负责规范性文件和其他重要文件的合法性审查工作；8、房地产业监督服务股。拟定全县房地产开发建设的发展战略、中长期规划、年度计划，负责全县房地产开发市场统计、分析和研究工作；拟订房地产开发和房屋交易的政策、规章制度和措施并监督执行；</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二、部门整体支出</w:t>
      </w:r>
      <w:r>
        <w:rPr>
          <w:rFonts w:hint="eastAsia" w:ascii="仿宋" w:hAnsi="仿宋" w:eastAsia="仿宋" w:cs="仿宋"/>
          <w:b/>
          <w:bCs/>
          <w:sz w:val="32"/>
          <w:szCs w:val="32"/>
          <w:lang w:eastAsia="zh-CN"/>
        </w:rPr>
        <w:t>管理及</w:t>
      </w:r>
      <w:r>
        <w:rPr>
          <w:rFonts w:hint="eastAsia" w:ascii="仿宋" w:hAnsi="仿宋" w:eastAsia="仿宋" w:cs="仿宋"/>
          <w:b/>
          <w:bCs/>
          <w:sz w:val="32"/>
          <w:szCs w:val="32"/>
        </w:rPr>
        <w:t>使用</w:t>
      </w:r>
      <w:r>
        <w:rPr>
          <w:rFonts w:hint="eastAsia" w:ascii="仿宋" w:hAnsi="仿宋" w:eastAsia="仿宋" w:cs="仿宋"/>
          <w:b/>
          <w:bCs/>
          <w:sz w:val="32"/>
          <w:szCs w:val="32"/>
          <w:lang w:eastAsia="zh-CN"/>
        </w:rPr>
        <w:t>情况</w:t>
      </w:r>
    </w:p>
    <w:p>
      <w:pPr>
        <w:ind w:left="315"/>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基本支出</w:t>
      </w:r>
    </w:p>
    <w:p>
      <w:pPr>
        <w:ind w:left="315"/>
        <w:rPr>
          <w:rFonts w:hint="eastAsia" w:ascii="仿宋" w:hAnsi="仿宋" w:eastAsia="仿宋" w:cs="仿宋"/>
          <w:sz w:val="32"/>
          <w:szCs w:val="32"/>
        </w:rPr>
      </w:pPr>
      <w:r>
        <w:rPr>
          <w:rFonts w:hint="eastAsia" w:ascii="仿宋" w:hAnsi="仿宋" w:eastAsia="仿宋" w:cs="仿宋"/>
          <w:b/>
          <w:bCs/>
          <w:sz w:val="32"/>
          <w:szCs w:val="32"/>
          <w:lang w:eastAsia="zh-CN"/>
        </w:rPr>
        <w:t>　</w:t>
      </w:r>
      <w:r>
        <w:rPr>
          <w:rFonts w:hint="eastAsia" w:ascii="仿宋" w:hAnsi="仿宋" w:eastAsia="仿宋" w:cs="仿宋"/>
          <w:sz w:val="32"/>
          <w:szCs w:val="32"/>
        </w:rPr>
        <w:t>一般公共服务（类）支出包括工资福利支出、商品和服</w:t>
      </w:r>
    </w:p>
    <w:p>
      <w:pPr>
        <w:rPr>
          <w:rFonts w:hint="eastAsia" w:ascii="仿宋" w:hAnsi="仿宋" w:eastAsia="仿宋" w:cs="仿宋"/>
          <w:sz w:val="32"/>
          <w:szCs w:val="32"/>
        </w:rPr>
      </w:pPr>
      <w:r>
        <w:rPr>
          <w:rFonts w:hint="eastAsia" w:ascii="仿宋" w:hAnsi="仿宋" w:eastAsia="仿宋" w:cs="仿宋"/>
          <w:sz w:val="32"/>
          <w:szCs w:val="32"/>
        </w:rPr>
        <w:t>务支出、对个人和家庭的补助及基本建设支出。202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基本支出包括人员经费、公用经费、对个人家庭补助支出。人员经费主要包括基本工资、津贴补贴、奖金、机关事业单位基本养老保险、医疗保险等；公用经费包括办公费、印刷费、咨询费、水费、电费、差旅费、公务接待费、工会等。对个人和家庭补助支出包括单位离退休费、医疗保障费等。</w:t>
      </w:r>
    </w:p>
    <w:p>
      <w:pPr>
        <w:ind w:left="315" w:leftChars="150" w:firstLine="880" w:firstLineChars="275"/>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2年</w:t>
      </w:r>
      <w:r>
        <w:rPr>
          <w:rFonts w:hint="eastAsia" w:ascii="仿宋" w:hAnsi="仿宋" w:eastAsia="仿宋" w:cs="仿宋"/>
          <w:sz w:val="32"/>
          <w:szCs w:val="32"/>
        </w:rPr>
        <w:t>“三公经费”总额支出15万元，完成年初预算的100%，，公务接待费1</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万元，完成年初预算100%，本年度未发生因公出国（境）费用。</w:t>
      </w:r>
    </w:p>
    <w:p>
      <w:pPr>
        <w:numPr>
          <w:ilvl w:val="0"/>
          <w:numId w:val="0"/>
        </w:numPr>
        <w:ind w:left="420" w:leftChars="0"/>
        <w:rPr>
          <w:rFonts w:hint="eastAsia" w:ascii="仿宋" w:hAnsi="仿宋" w:eastAsia="仿宋" w:cs="仿宋"/>
          <w:sz w:val="32"/>
          <w:szCs w:val="32"/>
        </w:rPr>
      </w:pPr>
      <w:r>
        <w:rPr>
          <w:rFonts w:hint="eastAsia" w:ascii="仿宋" w:hAnsi="仿宋" w:eastAsia="仿宋" w:cs="仿宋"/>
          <w:sz w:val="32"/>
          <w:szCs w:val="32"/>
          <w:lang w:eastAsia="zh-CN"/>
        </w:rPr>
        <w:t>　　（二）专项支出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1、专项资金（包括财政资金、自筹资金等）安排落实总投入情况分析；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2、专项资金（主要指财政资金）实际使用情况分析；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3、专项资金管理情况分析，主要包括管理制度、办结的制订及执行情况。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专项项目</w:t>
      </w:r>
      <w:r>
        <w:rPr>
          <w:rFonts w:hint="eastAsia" w:ascii="仿宋" w:hAnsi="仿宋" w:eastAsia="仿宋" w:cs="仿宋"/>
          <w:sz w:val="32"/>
          <w:szCs w:val="32"/>
        </w:rPr>
        <w:t>建设实际完成21</w:t>
      </w:r>
      <w:r>
        <w:rPr>
          <w:rFonts w:hint="eastAsia" w:ascii="仿宋" w:hAnsi="仿宋" w:eastAsia="仿宋" w:cs="仿宋"/>
          <w:sz w:val="32"/>
          <w:szCs w:val="32"/>
          <w:lang w:val="en-US" w:eastAsia="zh-CN"/>
        </w:rPr>
        <w:t>0</w:t>
      </w:r>
      <w:r>
        <w:rPr>
          <w:rFonts w:hint="eastAsia" w:ascii="仿宋" w:hAnsi="仿宋" w:eastAsia="仿宋" w:cs="仿宋"/>
          <w:sz w:val="32"/>
          <w:szCs w:val="32"/>
        </w:rPr>
        <w:t>万元，专项资金的实际使用严格按照项目资金的用途和相关的管理办法使用。专项资金管理按照专款专用的原则，做到事前、事中、事后跟踪管理</w:t>
      </w:r>
      <w:r>
        <w:rPr>
          <w:rFonts w:hint="eastAsia" w:ascii="仿宋" w:hAnsi="仿宋" w:eastAsia="仿宋" w:cs="仿宋"/>
          <w:sz w:val="32"/>
          <w:szCs w:val="32"/>
          <w:lang w:eastAsia="zh-CN"/>
        </w:rPr>
        <w:t>。</w:t>
      </w:r>
    </w:p>
    <w:p>
      <w:pPr>
        <w:rPr>
          <w:rFonts w:hint="eastAsia" w:ascii="仿宋" w:hAnsi="仿宋" w:eastAsia="仿宋" w:cs="仿宋"/>
          <w:b/>
          <w:bCs/>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三、部门专项组织实施情况</w:t>
      </w:r>
    </w:p>
    <w:p>
      <w:pPr>
        <w:numPr>
          <w:ilvl w:val="0"/>
          <w:numId w:val="0"/>
        </w:numPr>
        <w:rPr>
          <w:rFonts w:hint="eastAsia" w:ascii="仿宋" w:hAnsi="仿宋" w:eastAsia="仿宋" w:cs="仿宋"/>
          <w:b/>
          <w:bCs/>
          <w:sz w:val="32"/>
          <w:szCs w:val="32"/>
        </w:rPr>
      </w:pPr>
      <w:r>
        <w:rPr>
          <w:rFonts w:hint="eastAsia" w:ascii="仿宋" w:hAnsi="仿宋" w:eastAsia="仿宋" w:cs="仿宋"/>
          <w:sz w:val="32"/>
          <w:szCs w:val="32"/>
          <w:lang w:val="en-US" w:eastAsia="zh-CN"/>
        </w:rPr>
        <w:t>　　(一）</w:t>
      </w:r>
      <w:r>
        <w:rPr>
          <w:rFonts w:hint="eastAsia" w:ascii="仿宋" w:hAnsi="仿宋" w:eastAsia="仿宋" w:cs="仿宋"/>
          <w:sz w:val="32"/>
          <w:szCs w:val="32"/>
        </w:rPr>
        <w:t>政府性基金预算财政拨款收入为0万元，202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年政府性基金预算财政拨款支出</w:t>
      </w:r>
      <w:r>
        <w:rPr>
          <w:rFonts w:hint="eastAsia" w:ascii="仿宋" w:hAnsi="仿宋" w:eastAsia="仿宋" w:cs="仿宋"/>
          <w:sz w:val="32"/>
          <w:szCs w:val="32"/>
          <w:lang w:val="en-US" w:eastAsia="zh-CN"/>
        </w:rPr>
        <w:t>310412629.19</w:t>
      </w:r>
      <w:r>
        <w:rPr>
          <w:rFonts w:hint="eastAsia" w:ascii="仿宋" w:hAnsi="仿宋" w:eastAsia="仿宋" w:cs="仿宋"/>
          <w:sz w:val="32"/>
          <w:szCs w:val="32"/>
        </w:rPr>
        <w:t>万元，主要用于三供一业、老旧小区</w:t>
      </w:r>
      <w:r>
        <w:rPr>
          <w:rFonts w:hint="eastAsia" w:ascii="仿宋" w:hAnsi="仿宋" w:eastAsia="仿宋" w:cs="仿宋"/>
          <w:sz w:val="32"/>
          <w:szCs w:val="32"/>
          <w:lang w:eastAsia="zh-CN"/>
        </w:rPr>
        <w:t>改造、第二水厂、日常开支</w:t>
      </w:r>
      <w:r>
        <w:rPr>
          <w:rFonts w:hint="eastAsia" w:ascii="仿宋" w:hAnsi="仿宋" w:eastAsia="仿宋" w:cs="仿宋"/>
          <w:sz w:val="32"/>
          <w:szCs w:val="32"/>
        </w:rPr>
        <w:t>等项目支出。</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　四、资产管理</w:t>
      </w:r>
      <w:r>
        <w:rPr>
          <w:rFonts w:hint="eastAsia" w:ascii="仿宋" w:hAnsi="仿宋" w:eastAsia="仿宋" w:cs="仿宋"/>
          <w:b/>
          <w:bCs/>
          <w:sz w:val="32"/>
          <w:szCs w:val="32"/>
        </w:rPr>
        <w:t>情况</w:t>
      </w:r>
    </w:p>
    <w:p>
      <w:pPr>
        <w:ind w:firstLine="630"/>
        <w:rPr>
          <w:rFonts w:hint="eastAsia" w:ascii="仿宋" w:hAnsi="仿宋" w:eastAsia="仿宋" w:cs="仿宋"/>
          <w:sz w:val="32"/>
          <w:szCs w:val="32"/>
          <w:lang w:eastAsia="zh-CN"/>
        </w:rPr>
      </w:pPr>
      <w:r>
        <w:rPr>
          <w:rFonts w:hint="eastAsia" w:ascii="仿宋" w:hAnsi="仿宋" w:eastAsia="仿宋" w:cs="仿宋"/>
          <w:sz w:val="32"/>
          <w:szCs w:val="32"/>
        </w:rPr>
        <w:t xml:space="preserve">  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年12月31日，其他为办公设备、用品、电脑，各项配制严格按政府规定执行，未超标。本单位未发生社会保险基金支出情况</w:t>
      </w:r>
      <w:r>
        <w:rPr>
          <w:rFonts w:hint="eastAsia" w:ascii="仿宋" w:hAnsi="仿宋" w:eastAsia="仿宋" w:cs="仿宋"/>
          <w:sz w:val="32"/>
          <w:szCs w:val="32"/>
          <w:lang w:eastAsia="zh-CN"/>
        </w:rPr>
        <w:t>。</w:t>
      </w:r>
    </w:p>
    <w:p>
      <w:pPr>
        <w:ind w:firstLine="63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、部门整体支出绩效情况</w:t>
      </w:r>
    </w:p>
    <w:p>
      <w:pPr>
        <w:ind w:firstLine="630"/>
        <w:rPr>
          <w:rFonts w:hint="eastAsia" w:ascii="仿宋" w:hAnsi="仿宋" w:eastAsia="仿宋" w:cs="仿宋"/>
          <w:sz w:val="32"/>
          <w:szCs w:val="32"/>
        </w:rPr>
      </w:pPr>
      <w:r>
        <w:rPr>
          <w:rFonts w:hint="eastAsia" w:ascii="仿宋" w:hAnsi="仿宋" w:eastAsia="仿宋" w:cs="仿宋"/>
          <w:sz w:val="32"/>
          <w:szCs w:val="32"/>
        </w:rPr>
        <w:t xml:space="preserve">  经济性分析：202</w:t>
      </w:r>
      <w:r>
        <w:rPr>
          <w:rFonts w:hint="eastAsia" w:ascii="仿宋" w:hAnsi="仿宋" w:eastAsia="仿宋" w:cs="仿宋"/>
          <w:sz w:val="32"/>
          <w:szCs w:val="32"/>
          <w:lang w:val="en-US" w:eastAsia="zh-CN"/>
        </w:rPr>
        <w:t>2</w:t>
      </w:r>
      <w:r>
        <w:rPr>
          <w:rFonts w:hint="eastAsia" w:ascii="仿宋" w:hAnsi="仿宋" w:eastAsia="仿宋" w:cs="仿宋"/>
          <w:sz w:val="32"/>
          <w:szCs w:val="32"/>
        </w:rPr>
        <w:t>年我单位严格控制成本，节约各项开支，脱贫攻坚危房改造等各项工作顺利完成。202</w:t>
      </w:r>
      <w:r>
        <w:rPr>
          <w:rFonts w:hint="eastAsia" w:ascii="仿宋" w:hAnsi="仿宋" w:eastAsia="仿宋" w:cs="仿宋"/>
          <w:sz w:val="32"/>
          <w:szCs w:val="32"/>
          <w:lang w:val="en-US" w:eastAsia="zh-CN"/>
        </w:rPr>
        <w:t>2</w:t>
      </w:r>
      <w:r>
        <w:rPr>
          <w:rFonts w:hint="eastAsia" w:ascii="仿宋" w:hAnsi="仿宋" w:eastAsia="仿宋" w:cs="仿宋"/>
          <w:sz w:val="32"/>
          <w:szCs w:val="32"/>
        </w:rPr>
        <w:t>年公用经费预算</w:t>
      </w:r>
      <w:r>
        <w:rPr>
          <w:rFonts w:hint="eastAsia" w:ascii="仿宋" w:hAnsi="仿宋" w:eastAsia="仿宋" w:cs="仿宋"/>
          <w:sz w:val="32"/>
          <w:szCs w:val="32"/>
          <w:lang w:val="en-US" w:eastAsia="zh-CN"/>
        </w:rPr>
        <w:t>79.8</w:t>
      </w:r>
      <w:r>
        <w:rPr>
          <w:rFonts w:hint="eastAsia" w:ascii="仿宋" w:hAnsi="仿宋" w:eastAsia="仿宋" w:cs="仿宋"/>
          <w:sz w:val="32"/>
          <w:szCs w:val="32"/>
        </w:rPr>
        <w:t>万元，实际开支</w:t>
      </w:r>
      <w:r>
        <w:rPr>
          <w:rFonts w:hint="eastAsia" w:ascii="仿宋" w:hAnsi="仿宋" w:eastAsia="仿宋" w:cs="仿宋"/>
          <w:sz w:val="32"/>
          <w:szCs w:val="32"/>
          <w:lang w:val="en-US" w:eastAsia="zh-CN"/>
        </w:rPr>
        <w:t>79.8</w:t>
      </w:r>
      <w:r>
        <w:rPr>
          <w:rFonts w:hint="eastAsia" w:ascii="仿宋" w:hAnsi="仿宋" w:eastAsia="仿宋" w:cs="仿宋"/>
          <w:sz w:val="32"/>
          <w:szCs w:val="32"/>
        </w:rPr>
        <w:t>万元，占计划</w:t>
      </w:r>
      <w:r>
        <w:rPr>
          <w:rFonts w:hint="eastAsia" w:ascii="仿宋" w:hAnsi="仿宋" w:eastAsia="仿宋" w:cs="仿宋"/>
          <w:sz w:val="32"/>
          <w:szCs w:val="32"/>
          <w:lang w:val="en-US" w:eastAsia="zh-CN"/>
        </w:rPr>
        <w:t>100</w:t>
      </w:r>
      <w:r>
        <w:rPr>
          <w:rFonts w:hint="eastAsia" w:ascii="仿宋" w:hAnsi="仿宋" w:eastAsia="仿宋" w:cs="仿宋"/>
          <w:sz w:val="32"/>
          <w:szCs w:val="32"/>
        </w:rPr>
        <w:t>%，三公经费预算</w:t>
      </w:r>
      <w:r>
        <w:rPr>
          <w:rFonts w:hint="eastAsia" w:ascii="仿宋" w:hAnsi="仿宋" w:eastAsia="仿宋" w:cs="仿宋"/>
          <w:sz w:val="32"/>
          <w:szCs w:val="32"/>
          <w:lang w:val="en-US" w:eastAsia="zh-CN"/>
        </w:rPr>
        <w:t>15</w:t>
      </w:r>
      <w:r>
        <w:rPr>
          <w:rFonts w:hint="eastAsia" w:ascii="仿宋" w:hAnsi="仿宋" w:eastAsia="仿宋" w:cs="仿宋"/>
          <w:sz w:val="32"/>
          <w:szCs w:val="32"/>
        </w:rPr>
        <w:t>万元，实际开支5万元，占计划</w:t>
      </w:r>
      <w:r>
        <w:rPr>
          <w:rFonts w:hint="eastAsia" w:ascii="仿宋" w:hAnsi="仿宋" w:eastAsia="仿宋" w:cs="仿宋"/>
          <w:sz w:val="32"/>
          <w:szCs w:val="32"/>
          <w:lang w:val="en-US" w:eastAsia="zh-CN"/>
        </w:rPr>
        <w:t>33.3</w:t>
      </w:r>
      <w:r>
        <w:rPr>
          <w:rFonts w:hint="eastAsia" w:ascii="仿宋" w:hAnsi="仿宋" w:eastAsia="仿宋" w:cs="仿宋"/>
          <w:sz w:val="32"/>
          <w:szCs w:val="32"/>
        </w:rPr>
        <w:t>%，节约资金</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p>
    <w:p>
      <w:pPr>
        <w:ind w:firstLine="630"/>
        <w:rPr>
          <w:rFonts w:hint="eastAsia" w:ascii="仿宋" w:hAnsi="仿宋" w:eastAsia="仿宋" w:cs="仿宋"/>
          <w:sz w:val="32"/>
          <w:szCs w:val="32"/>
        </w:rPr>
      </w:pPr>
      <w:r>
        <w:rPr>
          <w:rFonts w:hint="eastAsia" w:ascii="仿宋" w:hAnsi="仿宋" w:eastAsia="仿宋" w:cs="仿宋"/>
          <w:sz w:val="32"/>
          <w:szCs w:val="32"/>
        </w:rPr>
        <w:t>效率性分析：202</w:t>
      </w:r>
      <w:r>
        <w:rPr>
          <w:rFonts w:hint="eastAsia" w:ascii="仿宋" w:hAnsi="仿宋" w:eastAsia="仿宋" w:cs="仿宋"/>
          <w:sz w:val="32"/>
          <w:szCs w:val="32"/>
          <w:lang w:val="en-US" w:eastAsia="zh-CN"/>
        </w:rPr>
        <w:t>2</w:t>
      </w:r>
      <w:r>
        <w:rPr>
          <w:rFonts w:hint="eastAsia" w:ascii="仿宋" w:hAnsi="仿宋" w:eastAsia="仿宋" w:cs="仿宋"/>
          <w:sz w:val="32"/>
          <w:szCs w:val="32"/>
        </w:rPr>
        <w:t>年我局已顺利完成上级交办的各项任务，文明县城、老旧小区改造、传统村落保护、脱贫攻坚顺利完成，危房改造竣工率达100%，经济效益和社会效益双丰收，农户对国家扶贫政策满意度大大提升，居住环境得到改善，人民安居乐业，生活幸福。</w:t>
      </w:r>
    </w:p>
    <w:p>
      <w:pPr>
        <w:ind w:firstLine="630"/>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、存在的</w:t>
      </w:r>
      <w:r>
        <w:rPr>
          <w:rFonts w:hint="eastAsia" w:ascii="仿宋" w:hAnsi="仿宋" w:eastAsia="仿宋" w:cs="仿宋"/>
          <w:b/>
          <w:bCs/>
          <w:sz w:val="32"/>
          <w:szCs w:val="32"/>
          <w:lang w:eastAsia="zh-CN"/>
        </w:rPr>
        <w:t>主要</w:t>
      </w:r>
      <w:r>
        <w:rPr>
          <w:rFonts w:hint="eastAsia" w:ascii="仿宋" w:hAnsi="仿宋" w:eastAsia="仿宋" w:cs="仿宋"/>
          <w:b/>
          <w:bCs/>
          <w:sz w:val="32"/>
          <w:szCs w:val="32"/>
        </w:rPr>
        <w:t>问题</w:t>
      </w:r>
    </w:p>
    <w:p>
      <w:pPr>
        <w:ind w:firstLine="630"/>
        <w:rPr>
          <w:rFonts w:hint="eastAsia" w:ascii="仿宋" w:hAnsi="仿宋" w:eastAsia="仿宋" w:cs="仿宋"/>
          <w:sz w:val="32"/>
          <w:szCs w:val="32"/>
        </w:rPr>
      </w:pPr>
      <w:r>
        <w:rPr>
          <w:rFonts w:hint="eastAsia" w:ascii="仿宋" w:hAnsi="仿宋" w:eastAsia="仿宋" w:cs="仿宋"/>
          <w:sz w:val="32"/>
          <w:szCs w:val="32"/>
        </w:rPr>
        <w:t>我局由于担负全县整体城市基础设施建设，项目建设较多，随时性变动较大，稳定性较差，不可预测性太大。</w:t>
      </w:r>
    </w:p>
    <w:p>
      <w:pPr>
        <w:ind w:firstLine="63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、改进措施和有关建议</w:t>
      </w:r>
    </w:p>
    <w:p>
      <w:pPr>
        <w:ind w:firstLine="630"/>
        <w:rPr>
          <w:rFonts w:hint="eastAsia" w:ascii="仿宋" w:hAnsi="仿宋" w:eastAsia="仿宋" w:cs="仿宋"/>
          <w:sz w:val="32"/>
          <w:szCs w:val="32"/>
        </w:rPr>
      </w:pPr>
      <w:r>
        <w:rPr>
          <w:rFonts w:hint="eastAsia" w:ascii="仿宋" w:hAnsi="仿宋" w:eastAsia="仿宋" w:cs="仿宋"/>
          <w:sz w:val="32"/>
          <w:szCs w:val="32"/>
        </w:rPr>
        <w:t>严格执行预算，做到心中有数，强化内部控制。</w:t>
      </w:r>
    </w:p>
    <w:p>
      <w:pPr>
        <w:ind w:left="315" w:firstLine="405"/>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bookmarkStart w:id="0" w:name="_GoBack"/>
      <w:bookmarkEnd w:id="0"/>
      <w:r>
        <w:rPr>
          <w:rFonts w:hint="eastAsia" w:ascii="仿宋" w:hAnsi="仿宋" w:eastAsia="仿宋" w:cs="仿宋"/>
          <w:sz w:val="32"/>
          <w:szCs w:val="32"/>
          <w:lang w:eastAsia="zh-CN"/>
        </w:rPr>
        <w:t>　　辰溪县住房和城乡建设局</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rPr>
          <w:rFonts w:asciiTheme="minorEastAsia" w:hAnsiTheme="minorEastAsia"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E42DC"/>
    <w:multiLevelType w:val="multilevel"/>
    <w:tmpl w:val="5E2E42D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YmFiN2IwZDFkNTUxNDMxZDM5NzExNTBlMTYzMTMifQ=="/>
  </w:docVars>
  <w:rsids>
    <w:rsidRoot w:val="005E0A3B"/>
    <w:rsid w:val="000F0CE0"/>
    <w:rsid w:val="001A5F5B"/>
    <w:rsid w:val="002D714A"/>
    <w:rsid w:val="004A2B84"/>
    <w:rsid w:val="00513A2C"/>
    <w:rsid w:val="00573A8A"/>
    <w:rsid w:val="005E0A3B"/>
    <w:rsid w:val="006E0B95"/>
    <w:rsid w:val="00757CFC"/>
    <w:rsid w:val="00807716"/>
    <w:rsid w:val="00A612D4"/>
    <w:rsid w:val="00B0486F"/>
    <w:rsid w:val="00B62AF3"/>
    <w:rsid w:val="00B7751A"/>
    <w:rsid w:val="00CC0C07"/>
    <w:rsid w:val="00D62B5E"/>
    <w:rsid w:val="00DC3CC7"/>
    <w:rsid w:val="01976BC1"/>
    <w:rsid w:val="02C9176D"/>
    <w:rsid w:val="0F2A5A28"/>
    <w:rsid w:val="0F860C74"/>
    <w:rsid w:val="287D50D5"/>
    <w:rsid w:val="64123C5D"/>
    <w:rsid w:val="77E31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Calibri" w:hAnsi="Calibri" w:eastAsia="宋体" w:cs="Times New Roman"/>
      <w:kern w:val="2"/>
      <w:sz w:val="18"/>
      <w:szCs w:val="18"/>
    </w:rPr>
  </w:style>
  <w:style w:type="character" w:customStyle="1" w:styleId="8">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3168</Words>
  <Characters>3251</Characters>
  <Lines>25</Lines>
  <Paragraphs>7</Paragraphs>
  <TotalTime>54</TotalTime>
  <ScaleCrop>false</ScaleCrop>
  <LinksUpToDate>false</LinksUpToDate>
  <CharactersWithSpaces>3329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2022-04-15T08:42:00Z</dcterms:created>
  <dc:creator>PC</dc:creator>
  <cp:lastModifiedBy>XJP</cp:lastModifiedBy>
  <cp:lastPrinted>2023-03-15T07:14:03Z</cp:lastPrinted>
  <dcterms:modified xsi:type="dcterms:W3CDTF">2023-03-15T07:14:07Z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0271105DA0264E2B8C383204E27F59A4</vt:lpwstr>
  </property>
</Properties>
</file>