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部门整体支出绩效评价基础数据表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填报单位：</w:t>
      </w:r>
    </w:p>
    <w:tbl>
      <w:tblPr>
        <w:tblStyle w:val="4"/>
        <w:tblW w:w="10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181"/>
        <w:gridCol w:w="2292"/>
        <w:gridCol w:w="2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59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财政供养人员情况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编制数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2020</w:t>
            </w:r>
            <w:r>
              <w:rPr>
                <w:rFonts w:hint="eastAsia" w:ascii="仿宋" w:hAnsi="仿宋" w:eastAsia="仿宋"/>
              </w:rPr>
              <w:t>年实际在职人数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597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47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经费控制情况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2019</w:t>
            </w:r>
            <w:r>
              <w:rPr>
                <w:rFonts w:hint="eastAsia" w:ascii="仿宋" w:hAnsi="仿宋" w:eastAsia="仿宋"/>
              </w:rPr>
              <w:t>年决算数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2020</w:t>
            </w:r>
            <w:r>
              <w:rPr>
                <w:rFonts w:hint="eastAsia" w:ascii="仿宋" w:hAnsi="仿宋" w:eastAsia="仿宋"/>
              </w:rPr>
              <w:t>年预算数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2020</w:t>
            </w:r>
            <w:r>
              <w:rPr>
                <w:rFonts w:hint="eastAsia" w:ascii="仿宋" w:hAnsi="仿宋" w:eastAsia="仿宋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三公经费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32.2万元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29.5万元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28.9万元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、公务用车购置和维护经费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其中：公车购置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公车运行维护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17.4万元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13.5万元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、出国经费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、公务接待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14.8万元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14.7万元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项目支出：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、业务工作专项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、运行维护专项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</w:t>
            </w:r>
            <w:r>
              <w:rPr>
                <w:rFonts w:ascii="宋体" w:cs="宋体"/>
              </w:rPr>
              <w:t> </w:t>
            </w:r>
            <w:r>
              <w:rPr>
                <w:rFonts w:hint="eastAsia" w:ascii="仿宋" w:hAnsi="仿宋" w:eastAsia="仿宋"/>
              </w:rPr>
              <w:t>…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公用经费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202.5万元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216.8万元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其中：办公经费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68.7万元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63.3万元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45.1万元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水费、电费、差旅费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10.2万元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11.7万元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会议费、培训费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3.7万元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政府采购金额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— —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部门整体支出预算调整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— —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说明：“项目支出”需要填报除专项资金和基本支出以外的所有项目情况，包括业务工作项目、运行维护项目等；“公用经费”填报基本支出中的一般商品和服务支出。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8717C"/>
    <w:rsid w:val="13AE23A8"/>
    <w:rsid w:val="4778717C"/>
    <w:rsid w:val="55173B24"/>
    <w:rsid w:val="7B6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2021-09-06T08:09:00Z</dcterms:created>
  <dc:creator>执子之爪</dc:creator>
  <cp:lastModifiedBy>执子之爪</cp:lastModifiedBy>
  <dcterms:modified xsi:type="dcterms:W3CDTF">2021-09-07T03:01:37Z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D36C93D03B094C69B4543DC33DDE6DC2</vt:lpwstr>
  </property>
</Properties>
</file>