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仿宋_GB2312"/>
          <w:sz w:val="32"/>
          <w:szCs w:val="32"/>
        </w:rPr>
      </w:pPr>
      <w:r>
        <w:rPr>
          <w:rFonts w:hint="eastAsia" w:eastAsia="黑体"/>
          <w:sz w:val="32"/>
          <w:szCs w:val="32"/>
        </w:rPr>
        <w:t>附件</w:t>
      </w:r>
      <w:r>
        <w:rPr>
          <w:rFonts w:eastAsia="黑体"/>
          <w:sz w:val="32"/>
          <w:szCs w:val="32"/>
        </w:rPr>
        <w:t>1</w:t>
      </w:r>
    </w:p>
    <w:p>
      <w:pPr>
        <w:spacing w:beforeLines="50" w:afterLines="50"/>
        <w:jc w:val="center"/>
        <w:rPr>
          <w:rFonts w:eastAsia="方正小标宋_GBK"/>
          <w:bCs/>
          <w:sz w:val="36"/>
          <w:szCs w:val="36"/>
        </w:rPr>
      </w:pPr>
      <w:r>
        <w:rPr>
          <w:rFonts w:hint="eastAsia" w:eastAsia="方正小标宋_GBK"/>
          <w:bCs/>
          <w:sz w:val="36"/>
          <w:szCs w:val="36"/>
        </w:rPr>
        <w:t>部门整体支出绩效评价共性指标框架（参考）</w:t>
      </w:r>
    </w:p>
    <w:tbl>
      <w:tblPr>
        <w:tblStyle w:val="2"/>
        <w:tblW w:w="10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66"/>
        <w:gridCol w:w="951"/>
        <w:gridCol w:w="2908"/>
        <w:gridCol w:w="4252"/>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blHeader/>
          <w:jc w:val="center"/>
        </w:trPr>
        <w:tc>
          <w:tcPr>
            <w:tcW w:w="666"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一级</w:t>
            </w:r>
            <w:r>
              <w:rPr>
                <w:rFonts w:ascii="仿宋_GB2312" w:eastAsia="仿宋_GB2312"/>
                <w:b/>
                <w:bCs/>
                <w:szCs w:val="21"/>
              </w:rPr>
              <w:br w:type="textWrapping"/>
            </w:r>
            <w:r>
              <w:rPr>
                <w:rFonts w:hint="eastAsia" w:ascii="仿宋_GB2312" w:eastAsia="仿宋_GB2312"/>
                <w:b/>
                <w:bCs/>
                <w:szCs w:val="21"/>
              </w:rPr>
              <w:t>指标</w:t>
            </w:r>
          </w:p>
        </w:tc>
        <w:tc>
          <w:tcPr>
            <w:tcW w:w="866" w:type="dxa"/>
            <w:tcMar>
              <w:top w:w="10" w:type="dxa"/>
              <w:left w:w="10" w:type="dxa"/>
              <w:bottom w:w="0" w:type="dxa"/>
              <w:right w:w="10" w:type="dxa"/>
            </w:tcMar>
            <w:vAlign w:val="center"/>
          </w:tcPr>
          <w:p>
            <w:pPr>
              <w:ind w:right="-174" w:rightChars="-83"/>
              <w:jc w:val="center"/>
              <w:rPr>
                <w:rFonts w:ascii="仿宋_GB2312" w:eastAsia="仿宋_GB2312"/>
                <w:b/>
                <w:bCs/>
                <w:szCs w:val="21"/>
              </w:rPr>
            </w:pPr>
            <w:r>
              <w:rPr>
                <w:rFonts w:hint="eastAsia" w:ascii="仿宋_GB2312" w:eastAsia="仿宋_GB2312"/>
                <w:b/>
                <w:bCs/>
                <w:szCs w:val="21"/>
              </w:rPr>
              <w:t>二级</w:t>
            </w:r>
          </w:p>
          <w:p>
            <w:pPr>
              <w:ind w:right="-174" w:rightChars="-83"/>
              <w:jc w:val="center"/>
              <w:rPr>
                <w:rFonts w:ascii="仿宋_GB2312" w:eastAsia="仿宋_GB2312"/>
                <w:b/>
                <w:bCs/>
                <w:szCs w:val="21"/>
              </w:rPr>
            </w:pPr>
            <w:r>
              <w:rPr>
                <w:rFonts w:hint="eastAsia" w:ascii="仿宋_GB2312" w:eastAsia="仿宋_GB2312"/>
                <w:b/>
                <w:bCs/>
                <w:szCs w:val="21"/>
              </w:rPr>
              <w:t>指标</w:t>
            </w:r>
          </w:p>
        </w:tc>
        <w:tc>
          <w:tcPr>
            <w:tcW w:w="951"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三级</w:t>
            </w:r>
          </w:p>
          <w:p>
            <w:pPr>
              <w:jc w:val="center"/>
              <w:rPr>
                <w:rFonts w:ascii="仿宋_GB2312" w:eastAsia="仿宋_GB2312"/>
                <w:b/>
                <w:bCs/>
                <w:szCs w:val="21"/>
              </w:rPr>
            </w:pPr>
            <w:r>
              <w:rPr>
                <w:rFonts w:hint="eastAsia" w:ascii="仿宋_GB2312" w:eastAsia="仿宋_GB2312"/>
                <w:b/>
                <w:bCs/>
                <w:szCs w:val="21"/>
              </w:rPr>
              <w:t>指标</w:t>
            </w:r>
          </w:p>
        </w:tc>
        <w:tc>
          <w:tcPr>
            <w:tcW w:w="2908"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评分及标准</w:t>
            </w:r>
          </w:p>
        </w:tc>
        <w:tc>
          <w:tcPr>
            <w:tcW w:w="4252"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指标说明</w:t>
            </w:r>
          </w:p>
        </w:tc>
        <w:tc>
          <w:tcPr>
            <w:tcW w:w="938" w:type="dxa"/>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投</w:t>
            </w:r>
            <w:r>
              <w:rPr>
                <w:rFonts w:ascii="仿宋_GB2312" w:eastAsia="仿宋_GB2312"/>
                <w:szCs w:val="21"/>
              </w:rPr>
              <w:t xml:space="preserve">   </w:t>
            </w:r>
            <w:r>
              <w:rPr>
                <w:rFonts w:hint="eastAsia" w:ascii="仿宋_GB2312" w:eastAsia="仿宋_GB2312"/>
                <w:szCs w:val="21"/>
              </w:rPr>
              <w:t>入</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目标</w:t>
            </w:r>
            <w:r>
              <w:rPr>
                <w:rFonts w:ascii="仿宋_GB2312" w:eastAsia="仿宋_GB2312"/>
                <w:szCs w:val="21"/>
              </w:rPr>
              <w:br w:type="textWrapping"/>
            </w:r>
            <w:r>
              <w:rPr>
                <w:rFonts w:hint="eastAsia" w:ascii="仿宋_GB2312" w:eastAsia="仿宋_GB2312"/>
                <w:szCs w:val="21"/>
              </w:rPr>
              <w:t>设定</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14</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绩效目标</w:t>
            </w:r>
          </w:p>
          <w:p>
            <w:pPr>
              <w:spacing w:line="320" w:lineRule="exact"/>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是否符合国家法律法规、国民经济和社会发展总体规划</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②</w:t>
            </w:r>
            <w:r>
              <w:rPr>
                <w:rFonts w:hint="eastAsia" w:ascii="仿宋_GB2312" w:eastAsia="仿宋_GB2312"/>
                <w:szCs w:val="21"/>
              </w:rPr>
              <w:t>是否符合部门“三定”方案确定的职责</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③</w:t>
            </w:r>
            <w:r>
              <w:rPr>
                <w:rFonts w:hint="eastAsia" w:ascii="仿宋_GB2312" w:eastAsia="仿宋_GB2312"/>
                <w:szCs w:val="21"/>
              </w:rPr>
              <w:t>是否符合部门制定的中长期实施规划</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7"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绩效指标</w:t>
            </w:r>
          </w:p>
          <w:p>
            <w:pPr>
              <w:spacing w:line="320" w:lineRule="exact"/>
              <w:jc w:val="center"/>
              <w:rPr>
                <w:rFonts w:ascii="仿宋_GB2312" w:eastAsia="仿宋_GB2312"/>
                <w:szCs w:val="21"/>
              </w:rPr>
            </w:pPr>
            <w:r>
              <w:rPr>
                <w:rFonts w:hint="eastAsia" w:ascii="仿宋_GB2312" w:eastAsia="仿宋_GB2312"/>
                <w:szCs w:val="21"/>
              </w:rPr>
              <w:t>明确性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是否将部门整体的绩效目标细化分解为具体的工作任务</w:t>
            </w:r>
            <w:r>
              <w:rPr>
                <w:rFonts w:ascii="仿宋_GB2312" w:eastAsia="仿宋_GB2312"/>
                <w:szCs w:val="21"/>
              </w:rPr>
              <w:t>2</w:t>
            </w:r>
            <w:r>
              <w:rPr>
                <w:rFonts w:hint="eastAsia" w:ascii="仿宋_GB2312" w:eastAsia="仿宋_GB2312"/>
                <w:szCs w:val="21"/>
              </w:rPr>
              <w:t>分；</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是否通过清晰、可衡量的指标值予以体现。</w:t>
            </w:r>
            <w:r>
              <w:rPr>
                <w:rFonts w:ascii="仿宋_GB2312" w:eastAsia="仿宋_GB2312"/>
                <w:szCs w:val="21"/>
              </w:rPr>
              <w:t xml:space="preserve">    </w:t>
            </w:r>
            <w:r>
              <w:rPr>
                <w:rFonts w:hint="eastAsia" w:ascii="仿宋_GB2312" w:hAnsi="宋体" w:eastAsia="仿宋_GB2312" w:cs="宋体"/>
                <w:szCs w:val="21"/>
              </w:rPr>
              <w:t>③</w:t>
            </w:r>
            <w:r>
              <w:rPr>
                <w:rFonts w:hint="eastAsia" w:ascii="仿宋_GB2312" w:eastAsia="仿宋_GB2312"/>
                <w:szCs w:val="21"/>
              </w:rPr>
              <w:t>是否与部门年度的任务数或计划数相对应</w:t>
            </w:r>
            <w:r>
              <w:rPr>
                <w:rFonts w:ascii="仿宋_GB2312" w:eastAsia="仿宋_GB2312"/>
                <w:szCs w:val="21"/>
              </w:rPr>
              <w:t>2</w:t>
            </w:r>
            <w:r>
              <w:rPr>
                <w:rFonts w:hint="eastAsia" w:ascii="仿宋_GB2312" w:eastAsia="仿宋_GB2312"/>
                <w:szCs w:val="21"/>
              </w:rPr>
              <w:t>分；</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是否与本年度部门预算资金相匹配</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配置</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在职人员</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w:t>
            </w:r>
            <w:r>
              <w:rPr>
                <w:rFonts w:ascii="仿宋_GB2312" w:eastAsia="仿宋_GB2312"/>
                <w:szCs w:val="21"/>
              </w:rPr>
              <w:t>100%</w:t>
            </w:r>
            <w:r>
              <w:rPr>
                <w:rFonts w:hint="eastAsia" w:ascii="仿宋_GB2312" w:eastAsia="仿宋_GB2312"/>
                <w:szCs w:val="21"/>
              </w:rPr>
              <w:t>为标准，在职人员控制率≤</w:t>
            </w:r>
            <w:r>
              <w:rPr>
                <w:rFonts w:ascii="仿宋_GB2312" w:eastAsia="仿宋_GB2312"/>
                <w:szCs w:val="21"/>
              </w:rPr>
              <w:t>100%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分；每超过一个百分点扣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在职人员控制率</w:t>
            </w:r>
            <w:r>
              <w:rPr>
                <w:rFonts w:ascii="仿宋_GB2312" w:eastAsia="仿宋_GB2312"/>
                <w:szCs w:val="21"/>
              </w:rPr>
              <w:t>=</w:t>
            </w:r>
            <w:r>
              <w:rPr>
                <w:rFonts w:hint="eastAsia" w:ascii="仿宋_GB2312" w:eastAsia="仿宋_GB2312"/>
                <w:szCs w:val="21"/>
              </w:rPr>
              <w:t>（在职人员数</w:t>
            </w:r>
            <w:r>
              <w:rPr>
                <w:rFonts w:ascii="仿宋_GB2312" w:eastAsia="仿宋_GB2312"/>
                <w:szCs w:val="21"/>
              </w:rPr>
              <w:t>/</w:t>
            </w:r>
            <w:r>
              <w:rPr>
                <w:rFonts w:hint="eastAsia" w:ascii="仿宋_GB2312" w:eastAsia="仿宋_GB2312"/>
                <w:szCs w:val="21"/>
              </w:rPr>
              <w:t>编制数）×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在职人员数：部门实际在职人数，以财政部确定的部门决算编制口径为准。</w:t>
            </w:r>
            <w:r>
              <w:rPr>
                <w:rFonts w:ascii="仿宋_GB2312" w:eastAsia="仿宋_GB2312"/>
                <w:szCs w:val="21"/>
              </w:rPr>
              <w:br w:type="textWrapping"/>
            </w:r>
            <w:r>
              <w:rPr>
                <w:rFonts w:hint="eastAsia" w:ascii="仿宋_GB2312" w:eastAsia="仿宋_GB2312"/>
                <w:szCs w:val="21"/>
              </w:rPr>
              <w:t>编制数：机构编制部门核定批复的部门的人员编制数。</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“三公经费”变动率为</w:t>
            </w:r>
            <w:r>
              <w:rPr>
                <w:rFonts w:ascii="仿宋_GB2312" w:eastAsia="仿宋_GB2312"/>
                <w:szCs w:val="21"/>
              </w:rPr>
              <w:t>0</w:t>
            </w:r>
            <w:r>
              <w:rPr>
                <w:rFonts w:hint="eastAsia" w:ascii="仿宋_GB2312" w:eastAsia="仿宋_GB2312"/>
                <w:szCs w:val="21"/>
              </w:rPr>
              <w:t>，计</w:t>
            </w:r>
            <w:r>
              <w:rPr>
                <w:rFonts w:ascii="仿宋_GB2312" w:eastAsia="仿宋_GB2312"/>
                <w:szCs w:val="21"/>
              </w:rPr>
              <w:t>5</w:t>
            </w:r>
            <w:r>
              <w:rPr>
                <w:rFonts w:hint="eastAsia" w:ascii="仿宋_GB2312" w:eastAsia="仿宋_GB2312"/>
                <w:szCs w:val="21"/>
              </w:rPr>
              <w:t>分；“三公经费”＞</w:t>
            </w:r>
            <w:r>
              <w:rPr>
                <w:rFonts w:ascii="仿宋_GB2312" w:eastAsia="仿宋_GB2312"/>
                <w:szCs w:val="21"/>
              </w:rPr>
              <w:t>0</w:t>
            </w:r>
            <w:r>
              <w:rPr>
                <w:rFonts w:hint="eastAsia" w:ascii="仿宋_GB2312" w:eastAsia="仿宋_GB2312"/>
                <w:szCs w:val="21"/>
              </w:rPr>
              <w:t>，每超过一个百分点扣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“三公经费”变动率</w:t>
            </w:r>
            <w:r>
              <w:rPr>
                <w:rFonts w:ascii="仿宋_GB2312" w:eastAsia="仿宋_GB2312"/>
                <w:szCs w:val="21"/>
              </w:rPr>
              <w:t>=[</w:t>
            </w:r>
            <w:r>
              <w:rPr>
                <w:rFonts w:hint="eastAsia" w:ascii="仿宋_GB2312" w:eastAsia="仿宋_GB2312"/>
                <w:szCs w:val="21"/>
              </w:rPr>
              <w:t>（本年度“三公经费”总额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“三公经费”：年度预算安排的因公出国（境）费、公务车辆购置及运行费和公务招待费。</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1"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重点支出</w:t>
            </w:r>
          </w:p>
          <w:p>
            <w:pPr>
              <w:spacing w:line="320" w:lineRule="exact"/>
              <w:jc w:val="center"/>
              <w:rPr>
                <w:rFonts w:ascii="仿宋_GB2312" w:eastAsia="仿宋_GB2312"/>
                <w:szCs w:val="21"/>
              </w:rPr>
            </w:pPr>
            <w:r>
              <w:rPr>
                <w:rFonts w:hint="eastAsia" w:ascii="仿宋_GB2312" w:eastAsia="仿宋_GB2312"/>
                <w:szCs w:val="21"/>
              </w:rPr>
              <w:t>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“重点支出安排率”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分，每下降一个百分点扣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重点支出安排率</w:t>
            </w:r>
            <w:r>
              <w:rPr>
                <w:rFonts w:ascii="仿宋_GB2312" w:eastAsia="仿宋_GB2312"/>
                <w:szCs w:val="21"/>
              </w:rPr>
              <w:t>=</w:t>
            </w:r>
            <w:r>
              <w:rPr>
                <w:rFonts w:hint="eastAsia" w:ascii="仿宋_GB2312" w:eastAsia="仿宋_GB2312"/>
                <w:szCs w:val="21"/>
              </w:rPr>
              <w:t>（重点预算支出</w:t>
            </w:r>
            <w:r>
              <w:rPr>
                <w:rFonts w:ascii="仿宋_GB2312" w:eastAsia="仿宋_GB2312"/>
                <w:szCs w:val="21"/>
              </w:rPr>
              <w:t>/</w:t>
            </w:r>
            <w:r>
              <w:rPr>
                <w:rFonts w:hint="eastAsia" w:ascii="仿宋_GB2312" w:eastAsia="仿宋_GB2312"/>
                <w:szCs w:val="21"/>
              </w:rPr>
              <w:t>预算总支出）×</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重点预算支出：部门年度预算安排的，与本部门履职和发展密切相关、具有明显社会和经济影响、党委政府关心或社会比较关注的预算支出支出总额。</w:t>
            </w:r>
            <w:r>
              <w:rPr>
                <w:rFonts w:ascii="仿宋_GB2312" w:eastAsia="仿宋_GB2312"/>
                <w:szCs w:val="21"/>
              </w:rPr>
              <w:br w:type="textWrapping"/>
            </w:r>
            <w:r>
              <w:rPr>
                <w:rFonts w:hint="eastAsia" w:ascii="仿宋_GB2312" w:eastAsia="仿宋_GB2312"/>
                <w:szCs w:val="21"/>
              </w:rPr>
              <w:t>预算总支出：部门年度预算安排的预算支出支出总额。</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预算执行率</w:t>
            </w:r>
            <w:r>
              <w:rPr>
                <w:rFonts w:ascii="仿宋_GB2312" w:eastAsia="仿宋_GB2312"/>
                <w:szCs w:val="21"/>
              </w:rPr>
              <w:t>=</w:t>
            </w:r>
            <w:r>
              <w:rPr>
                <w:rFonts w:hint="eastAsia" w:ascii="仿宋_GB2312" w:eastAsia="仿宋_GB2312"/>
                <w:szCs w:val="21"/>
              </w:rPr>
              <w:t>（预算执行数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预算执行数：部门本年度实际完成的预算数。</w:t>
            </w:r>
            <w:r>
              <w:rPr>
                <w:rFonts w:ascii="仿宋_GB2312" w:eastAsia="仿宋_GB2312"/>
                <w:szCs w:val="21"/>
              </w:rPr>
              <w:br w:type="textWrapping"/>
            </w:r>
            <w:r>
              <w:rPr>
                <w:rFonts w:hint="eastAsia" w:ascii="仿宋_GB2312" w:eastAsia="仿宋_GB2312"/>
                <w:szCs w:val="21"/>
              </w:rPr>
              <w:t>预算数：财政部门批复的本年度部门预算数。</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调整率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预算调整率</w:t>
            </w:r>
            <w:r>
              <w:rPr>
                <w:rFonts w:ascii="仿宋_GB2312" w:eastAsia="仿宋_GB2312"/>
                <w:szCs w:val="21"/>
              </w:rPr>
              <w:t>=</w:t>
            </w:r>
            <w:r>
              <w:rPr>
                <w:rFonts w:hint="eastAsia" w:ascii="仿宋_GB2312" w:eastAsia="仿宋_GB2312"/>
                <w:szCs w:val="21"/>
              </w:rPr>
              <w:t>（预算调整数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预算调整数：部门在本年度内涉及预算的追加、追减或结构调整的资金总和（因落实国家政策、发生不可抗力、上级部门或本级党委政府临时交办而产生的调整除外）。</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支付</w:t>
            </w:r>
          </w:p>
          <w:p>
            <w:pPr>
              <w:spacing w:line="320" w:lineRule="exact"/>
              <w:jc w:val="center"/>
              <w:rPr>
                <w:rFonts w:ascii="仿宋_GB2312" w:eastAsia="仿宋_GB2312"/>
                <w:szCs w:val="21"/>
              </w:rPr>
            </w:pPr>
            <w:r>
              <w:rPr>
                <w:rFonts w:hint="eastAsia" w:ascii="仿宋_GB2312" w:eastAsia="仿宋_GB2312"/>
                <w:szCs w:val="21"/>
              </w:rPr>
              <w:t>进度率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支付进度率</w:t>
            </w:r>
            <w:r>
              <w:rPr>
                <w:rFonts w:ascii="仿宋_GB2312" w:eastAsia="仿宋_GB2312"/>
                <w:szCs w:val="21"/>
              </w:rPr>
              <w:t>=</w:t>
            </w:r>
            <w:r>
              <w:rPr>
                <w:rFonts w:hint="eastAsia" w:ascii="仿宋_GB2312" w:eastAsia="仿宋_GB2312"/>
                <w:szCs w:val="21"/>
              </w:rPr>
              <w:t>（实际支付进度</w:t>
            </w:r>
            <w:r>
              <w:rPr>
                <w:rFonts w:ascii="仿宋_GB2312" w:eastAsia="仿宋_GB2312"/>
                <w:szCs w:val="21"/>
              </w:rPr>
              <w:t>/</w:t>
            </w:r>
            <w:r>
              <w:rPr>
                <w:rFonts w:hint="eastAsia" w:ascii="仿宋_GB2312" w:eastAsia="仿宋_GB2312"/>
                <w:szCs w:val="21"/>
              </w:rPr>
              <w:t>既定支付进度）×</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实际支付进度：部门在某一时点的支出预算执行总数与年度支出预算数的比率。</w:t>
            </w:r>
            <w:r>
              <w:rPr>
                <w:rFonts w:ascii="仿宋_GB2312" w:eastAsia="仿宋_GB2312"/>
                <w:szCs w:val="21"/>
              </w:rPr>
              <w:br w:type="textWrapping"/>
            </w:r>
            <w:r>
              <w:rPr>
                <w:rFonts w:hint="eastAsia" w:ascii="仿宋_GB2312" w:eastAsia="仿宋_GB2312"/>
                <w:szCs w:val="21"/>
              </w:rPr>
              <w:t>既定支付进度：由部门在申报部门整体绩效目标时，参照序时支付进度、前三年支付进度、本级部门平均支付进度水平等确定的，在某一时点应达到的支付进度（比率）。</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continue"/>
            <w:tcMar>
              <w:top w:w="10" w:type="dxa"/>
              <w:left w:w="10" w:type="dxa"/>
              <w:bottom w:w="0" w:type="dxa"/>
              <w:right w:w="10" w:type="dxa"/>
            </w:tcMar>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w:t>
            </w:r>
          </w:p>
          <w:p>
            <w:pPr>
              <w:spacing w:line="320" w:lineRule="exact"/>
              <w:jc w:val="center"/>
              <w:rPr>
                <w:rFonts w:ascii="仿宋_GB2312" w:eastAsia="仿宋_GB2312"/>
                <w:szCs w:val="21"/>
              </w:rPr>
            </w:pPr>
            <w:r>
              <w:rPr>
                <w:rFonts w:hint="eastAsia" w:ascii="仿宋_GB2312" w:eastAsia="仿宋_GB2312"/>
                <w:szCs w:val="21"/>
              </w:rPr>
              <w:t>结余率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结转结余率</w:t>
            </w:r>
            <w:r>
              <w:rPr>
                <w:rFonts w:ascii="仿宋_GB2312" w:eastAsia="仿宋_GB2312"/>
                <w:szCs w:val="21"/>
              </w:rPr>
              <w:t>=</w:t>
            </w:r>
            <w:r>
              <w:rPr>
                <w:rFonts w:hint="eastAsia" w:ascii="仿宋_GB2312" w:eastAsia="仿宋_GB2312"/>
                <w:szCs w:val="21"/>
              </w:rPr>
              <w:t>结转结余总额</w:t>
            </w:r>
            <w:r>
              <w:rPr>
                <w:rFonts w:ascii="仿宋_GB2312" w:eastAsia="仿宋_GB2312"/>
                <w:szCs w:val="21"/>
              </w:rPr>
              <w:t>/</w:t>
            </w:r>
            <w:r>
              <w:rPr>
                <w:rFonts w:hint="eastAsia" w:ascii="仿宋_GB2312" w:eastAsia="仿宋_GB2312"/>
                <w:szCs w:val="21"/>
              </w:rPr>
              <w:t>支出预算数×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结转结余总额：部门本年度的结转资金与结余资金之和（以决算数为准）。</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结转结余</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结转结余变动率</w:t>
            </w:r>
            <w:r>
              <w:rPr>
                <w:rFonts w:ascii="仿宋_GB2312" w:eastAsia="仿宋_GB2312"/>
                <w:szCs w:val="21"/>
              </w:rPr>
              <w:t>=[</w:t>
            </w:r>
            <w:r>
              <w:rPr>
                <w:rFonts w:hint="eastAsia" w:ascii="仿宋_GB2312" w:eastAsia="仿宋_GB2312"/>
                <w:szCs w:val="21"/>
              </w:rPr>
              <w:t>（本年度累计结转结余资金总额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公用经费</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公用经费控制率</w:t>
            </w:r>
            <w:r>
              <w:rPr>
                <w:rFonts w:ascii="仿宋_GB2312" w:eastAsia="仿宋_GB2312"/>
                <w:szCs w:val="21"/>
              </w:rPr>
              <w:t>=</w:t>
            </w:r>
            <w:r>
              <w:rPr>
                <w:rFonts w:hint="eastAsia" w:ascii="仿宋_GB2312" w:eastAsia="仿宋_GB2312"/>
                <w:szCs w:val="21"/>
              </w:rPr>
              <w:t>（实际支出公用经费总额</w:t>
            </w:r>
            <w:r>
              <w:rPr>
                <w:rFonts w:ascii="仿宋_GB2312" w:eastAsia="仿宋_GB2312"/>
                <w:szCs w:val="21"/>
              </w:rPr>
              <w:t>/</w:t>
            </w:r>
            <w:r>
              <w:rPr>
                <w:rFonts w:hint="eastAsia" w:ascii="仿宋_GB2312" w:eastAsia="仿宋_GB2312"/>
                <w:szCs w:val="21"/>
              </w:rPr>
              <w:t>预算安排公用经费总额）×</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4"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“三公经费”控制率（</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“三公经费”控制率</w:t>
            </w:r>
            <w:r>
              <w:rPr>
                <w:rFonts w:ascii="仿宋_GB2312" w:eastAsia="仿宋_GB2312"/>
                <w:szCs w:val="21"/>
              </w:rPr>
              <w:t>=</w:t>
            </w:r>
            <w:r>
              <w:rPr>
                <w:rFonts w:hint="eastAsia" w:ascii="仿宋_GB2312" w:eastAsia="仿宋_GB2312"/>
                <w:szCs w:val="21"/>
              </w:rPr>
              <w:t>（“三公经费”实际支出数</w:t>
            </w:r>
            <w:r>
              <w:rPr>
                <w:rFonts w:ascii="仿宋_GB2312" w:eastAsia="仿宋_GB2312"/>
                <w:szCs w:val="21"/>
              </w:rPr>
              <w:t>/</w:t>
            </w:r>
            <w:r>
              <w:rPr>
                <w:rFonts w:hint="eastAsia" w:ascii="仿宋_GB2312" w:eastAsia="仿宋_GB2312"/>
                <w:szCs w:val="21"/>
              </w:rPr>
              <w:t>“三公经费”预算安排数）×</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政府采购</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计满分，每超过（降低）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政府采购执行率</w:t>
            </w:r>
            <w:r>
              <w:rPr>
                <w:rFonts w:ascii="仿宋_GB2312" w:eastAsia="仿宋_GB2312"/>
                <w:szCs w:val="21"/>
              </w:rPr>
              <w:t>=</w:t>
            </w:r>
            <w:r>
              <w:rPr>
                <w:rFonts w:hint="eastAsia" w:ascii="仿宋_GB2312" w:eastAsia="仿宋_GB2312"/>
                <w:szCs w:val="21"/>
              </w:rPr>
              <w:t>（实际政府采购金额</w:t>
            </w:r>
            <w:r>
              <w:rPr>
                <w:rFonts w:ascii="仿宋_GB2312" w:eastAsia="仿宋_GB2312"/>
                <w:szCs w:val="21"/>
              </w:rPr>
              <w:t>/</w:t>
            </w:r>
            <w:r>
              <w:rPr>
                <w:rFonts w:hint="eastAsia" w:ascii="仿宋_GB2312" w:eastAsia="仿宋_GB2312"/>
                <w:szCs w:val="21"/>
              </w:rPr>
              <w:t>政府采购预算数）×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政府采购预算：采购机关根据事业发展计划和行政任务编制的、并经过规定程序批准的年度政府采购计划。</w:t>
            </w:r>
            <w:r>
              <w:rPr>
                <w:rFonts w:ascii="仿宋_GB2312" w:eastAsia="仿宋_GB2312"/>
                <w:szCs w:val="21"/>
              </w:rPr>
              <w:t xml:space="preserve"> </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p>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w:t>
            </w:r>
            <w:r>
              <w:rPr>
                <w:rFonts w:hint="eastAsia" w:ascii="仿宋_GB2312" w:eastAsia="仿宋_GB2312"/>
                <w:szCs w:val="21"/>
              </w:rPr>
              <w:t>有内部财务管理制度，会计核算制度等管理制度，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2.</w:t>
            </w:r>
            <w:r>
              <w:rPr>
                <w:rFonts w:hint="eastAsia" w:ascii="仿宋_GB2312" w:eastAsia="仿宋_GB2312"/>
                <w:szCs w:val="21"/>
              </w:rPr>
              <w:t>有本部门厉行节约制度，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3.</w:t>
            </w:r>
            <w:r>
              <w:rPr>
                <w:rFonts w:hint="eastAsia" w:ascii="仿宋_GB2312" w:eastAsia="仿宋_GB2312"/>
                <w:szCs w:val="21"/>
              </w:rPr>
              <w:t>相关管理制度合法、合规、完整，</w:t>
            </w:r>
            <w:r>
              <w:rPr>
                <w:rFonts w:ascii="仿宋_GB2312" w:eastAsia="仿宋_GB2312"/>
                <w:szCs w:val="21"/>
              </w:rPr>
              <w:t>0.5</w:t>
            </w:r>
            <w:r>
              <w:rPr>
                <w:rFonts w:hint="eastAsia" w:ascii="仿宋_GB2312" w:eastAsia="仿宋_GB2312"/>
                <w:szCs w:val="21"/>
              </w:rPr>
              <w:t>分；</w:t>
            </w:r>
            <w:r>
              <w:rPr>
                <w:rFonts w:ascii="仿宋_GB2312" w:eastAsia="仿宋_GB2312"/>
                <w:szCs w:val="21"/>
              </w:rPr>
              <w:t>4.</w:t>
            </w:r>
            <w:r>
              <w:rPr>
                <w:rFonts w:hint="eastAsia" w:ascii="仿宋_GB2312" w:eastAsia="仿宋_GB2312"/>
                <w:szCs w:val="21"/>
              </w:rPr>
              <w:t>相关管理制度得到有效执行，</w:t>
            </w:r>
            <w:r>
              <w:rPr>
                <w:rFonts w:ascii="仿宋_GB2312" w:eastAsia="仿宋_GB2312"/>
                <w:szCs w:val="21"/>
              </w:rPr>
              <w:t>0.5</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是否已制定或具有预算资金管理办法、内部财务管理制度、会计核算制度等管理制度；</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相关管理制度是否合法、合规、完整；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相关管理制度是否得到有效执行。</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资金使用</w:t>
            </w:r>
          </w:p>
          <w:p>
            <w:pPr>
              <w:spacing w:line="320" w:lineRule="exact"/>
              <w:jc w:val="center"/>
              <w:rPr>
                <w:rFonts w:ascii="仿宋_GB2312" w:eastAsia="仿宋_GB2312"/>
                <w:szCs w:val="21"/>
              </w:rPr>
            </w:pPr>
            <w:r>
              <w:rPr>
                <w:rFonts w:hint="eastAsia" w:ascii="仿宋_GB2312" w:eastAsia="仿宋_GB2312"/>
                <w:szCs w:val="21"/>
              </w:rPr>
              <w:t>合规性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spacing w:line="300" w:lineRule="exact"/>
              <w:rPr>
                <w:rFonts w:ascii="仿宋_GB2312" w:eastAsia="仿宋_GB2312"/>
                <w:szCs w:val="21"/>
              </w:rPr>
            </w:pPr>
            <w:r>
              <w:rPr>
                <w:rFonts w:ascii="仿宋_GB2312" w:eastAsia="仿宋_GB2312"/>
                <w:szCs w:val="21"/>
              </w:rPr>
              <w:t>1.</w:t>
            </w:r>
            <w:r>
              <w:rPr>
                <w:rFonts w:hint="eastAsia" w:ascii="仿宋_GB2312" w:eastAsia="仿宋_GB2312"/>
                <w:szCs w:val="21"/>
              </w:rPr>
              <w:t>支出符合国家财经法规和财务管理制度规定以及有关专项资金管理办法的规定；</w:t>
            </w:r>
            <w:r>
              <w:rPr>
                <w:rFonts w:ascii="仿宋_GB2312" w:eastAsia="仿宋_GB2312"/>
                <w:szCs w:val="21"/>
              </w:rPr>
              <w:t>2.</w:t>
            </w:r>
            <w:r>
              <w:rPr>
                <w:rFonts w:hint="eastAsia" w:ascii="仿宋_GB2312" w:eastAsia="仿宋_GB2312"/>
                <w:szCs w:val="21"/>
              </w:rPr>
              <w:t>资金拨付有完整的审批程序和手续；</w:t>
            </w:r>
            <w:r>
              <w:rPr>
                <w:rFonts w:ascii="仿宋_GB2312" w:eastAsia="仿宋_GB2312"/>
                <w:szCs w:val="21"/>
              </w:rPr>
              <w:t>3.</w:t>
            </w:r>
            <w:r>
              <w:rPr>
                <w:rFonts w:hint="eastAsia" w:ascii="仿宋_GB2312" w:eastAsia="仿宋_GB2312"/>
                <w:szCs w:val="21"/>
              </w:rPr>
              <w:t>项目支出按规定经过评估论证；</w:t>
            </w:r>
            <w:r>
              <w:rPr>
                <w:rFonts w:ascii="仿宋_GB2312" w:eastAsia="仿宋_GB2312"/>
                <w:szCs w:val="21"/>
              </w:rPr>
              <w:t>4.</w:t>
            </w:r>
            <w:r>
              <w:rPr>
                <w:rFonts w:hint="eastAsia" w:ascii="仿宋_GB2312" w:eastAsia="仿宋_GB2312"/>
                <w:szCs w:val="21"/>
              </w:rPr>
              <w:t>支出符合部门预算批复的用途；</w:t>
            </w:r>
            <w:r>
              <w:rPr>
                <w:rFonts w:ascii="仿宋_GB2312" w:eastAsia="仿宋_GB2312"/>
                <w:szCs w:val="21"/>
              </w:rPr>
              <w:t>5.</w:t>
            </w:r>
            <w:r>
              <w:rPr>
                <w:rFonts w:hint="eastAsia" w:ascii="仿宋_GB2312" w:eastAsia="仿宋_GB2312"/>
                <w:szCs w:val="21"/>
              </w:rPr>
              <w:t>资金使用无截留、挤占、挪用、虚列支出等情况。</w:t>
            </w:r>
          </w:p>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以上情况每出现一例不符合要求的扣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是否符合国家财经法规和财务管理制度规定以及有关预算支出管理办法的规定；</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资金的拨付是否有完整的审批程序和手续；</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预算支出的重大开支是否经过评估论证；</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是否符合部门预算批复的用途；</w:t>
            </w:r>
            <w:r>
              <w:rPr>
                <w:rFonts w:ascii="仿宋_GB2312" w:eastAsia="仿宋_GB2312"/>
                <w:szCs w:val="21"/>
              </w:rPr>
              <w:br w:type="textWrapping"/>
            </w:r>
            <w:r>
              <w:rPr>
                <w:rFonts w:hint="eastAsia" w:ascii="仿宋_GB2312" w:hAnsi="宋体" w:eastAsia="仿宋_GB2312" w:cs="宋体"/>
                <w:szCs w:val="21"/>
              </w:rPr>
              <w:t>⑤</w:t>
            </w:r>
            <w:r>
              <w:rPr>
                <w:rFonts w:hint="eastAsia" w:ascii="仿宋_GB2312" w:eastAsia="仿宋_GB2312"/>
                <w:szCs w:val="21"/>
              </w:rPr>
              <w:t>是否存在截留、挤占、挪用、虚列支出等情况。</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预决算信</w:t>
            </w:r>
          </w:p>
          <w:p>
            <w:pPr>
              <w:spacing w:line="320" w:lineRule="exact"/>
              <w:jc w:val="center"/>
              <w:rPr>
                <w:rFonts w:ascii="仿宋_GB2312" w:eastAsia="仿宋_GB2312"/>
                <w:szCs w:val="21"/>
              </w:rPr>
            </w:pPr>
            <w:r>
              <w:rPr>
                <w:rFonts w:hint="eastAsia" w:ascii="仿宋_GB2312" w:eastAsia="仿宋_GB2312"/>
                <w:szCs w:val="21"/>
              </w:rPr>
              <w:t>息公开性（</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rPr>
                <w:rFonts w:ascii="仿宋_GB2312" w:eastAsia="仿宋_GB2312"/>
                <w:szCs w:val="21"/>
              </w:rPr>
            </w:pPr>
            <w:r>
              <w:rPr>
                <w:rFonts w:hint="eastAsia" w:ascii="仿宋_GB2312" w:eastAsia="仿宋_GB2312"/>
                <w:szCs w:val="21"/>
              </w:rPr>
              <w:t>部门预算、执行、决算、监督、绩效等管理相关的信息未公开，每一项扣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是否按规定内容公开预决算信息；</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是否按规定时限公开预决算信息。</w:t>
            </w:r>
            <w:r>
              <w:rPr>
                <w:rFonts w:ascii="仿宋_GB2312" w:eastAsia="仿宋_GB2312"/>
                <w:szCs w:val="21"/>
              </w:rPr>
              <w:br w:type="textWrapping"/>
            </w:r>
            <w:r>
              <w:rPr>
                <w:rFonts w:hint="eastAsia" w:ascii="仿宋_GB2312" w:eastAsia="仿宋_GB2312"/>
                <w:szCs w:val="21"/>
              </w:rPr>
              <w:t>预决算信息是指与部门预算、执行、决算、监督、绩效等管理相关的信息。</w:t>
            </w:r>
          </w:p>
        </w:tc>
        <w:tc>
          <w:tcPr>
            <w:tcW w:w="938" w:type="dxa"/>
            <w:vAlign w:val="center"/>
          </w:tcPr>
          <w:p>
            <w:pPr>
              <w:spacing w:line="320" w:lineRule="exact"/>
              <w:ind w:left="105" w:leftChars="50" w:right="105" w:rightChars="50"/>
              <w:jc w:val="center"/>
              <w:rPr>
                <w:rFonts w:ascii="仿宋_GB2312" w:eastAsia="仿宋_GB2312"/>
                <w:szCs w:val="21"/>
              </w:rPr>
            </w:pPr>
            <w:r>
              <w:rPr>
                <w:rFonts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2"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基础信息</w:t>
            </w:r>
          </w:p>
          <w:p>
            <w:pPr>
              <w:spacing w:line="320" w:lineRule="exact"/>
              <w:jc w:val="center"/>
              <w:rPr>
                <w:rFonts w:ascii="仿宋_GB2312" w:eastAsia="仿宋_GB2312"/>
                <w:szCs w:val="21"/>
              </w:rPr>
            </w:pPr>
            <w:r>
              <w:rPr>
                <w:rFonts w:hint="eastAsia" w:ascii="仿宋_GB2312" w:eastAsia="仿宋_GB2312"/>
                <w:szCs w:val="21"/>
              </w:rPr>
              <w:t>完善性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部门基础信息是否完善，缺一项扣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基础数据信息和会计信息资料是否真实；</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基础数据信息和会计信息资料是否完整；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基础数据信息和会计信息资料是否准确。</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资产</w:t>
            </w:r>
            <w:r>
              <w:rPr>
                <w:rFonts w:ascii="仿宋_GB2312" w:eastAsia="仿宋_GB2312"/>
                <w:szCs w:val="21"/>
              </w:rPr>
              <w:br w:type="textWrapping"/>
            </w: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部门有加强资产管理、规范资产管理行为而制定的管理制度的计</w:t>
            </w:r>
            <w:r>
              <w:rPr>
                <w:rFonts w:ascii="仿宋_GB2312" w:eastAsia="仿宋_GB2312"/>
                <w:szCs w:val="21"/>
              </w:rPr>
              <w:t>1</w:t>
            </w:r>
            <w:r>
              <w:rPr>
                <w:rFonts w:hint="eastAsia" w:ascii="仿宋_GB2312" w:eastAsia="仿宋_GB2312"/>
                <w:szCs w:val="21"/>
              </w:rPr>
              <w:t>分；有效执行相关文件的计</w:t>
            </w:r>
            <w:r>
              <w:rPr>
                <w:rFonts w:ascii="仿宋_GB2312" w:eastAsia="仿宋_GB2312"/>
                <w:szCs w:val="21"/>
              </w:rPr>
              <w:t>1</w:t>
            </w:r>
            <w:r>
              <w:rPr>
                <w:rFonts w:hint="eastAsia" w:ascii="仿宋_GB2312" w:eastAsia="仿宋_GB2312"/>
                <w:szCs w:val="21"/>
              </w:rPr>
              <w:t>分。反之不计分。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是否已制定或具有资产管理制度；</w:t>
            </w:r>
            <w:r>
              <w:rPr>
                <w:rFonts w:ascii="仿宋_GB2312" w:eastAsia="仿宋_GB2312"/>
                <w:szCs w:val="21"/>
              </w:rPr>
              <w:t xml:space="preserve">           </w:t>
            </w:r>
            <w:r>
              <w:rPr>
                <w:rFonts w:hint="eastAsia" w:ascii="仿宋_GB2312" w:hAnsi="宋体" w:eastAsia="仿宋_GB2312" w:cs="宋体"/>
                <w:szCs w:val="21"/>
              </w:rPr>
              <w:t>②</w:t>
            </w:r>
            <w:r>
              <w:rPr>
                <w:rFonts w:hint="eastAsia" w:ascii="仿宋_GB2312" w:eastAsia="仿宋_GB2312"/>
                <w:szCs w:val="21"/>
              </w:rPr>
              <w:t>相关资金管理制度是否合法、合规、完整；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相关资产管理制度是否得到有效执行。</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资产管理</w:t>
            </w:r>
          </w:p>
          <w:p>
            <w:pPr>
              <w:spacing w:line="320" w:lineRule="exact"/>
              <w:jc w:val="center"/>
              <w:rPr>
                <w:rFonts w:ascii="仿宋_GB2312" w:eastAsia="仿宋_GB2312"/>
                <w:szCs w:val="21"/>
              </w:rPr>
            </w:pPr>
            <w:r>
              <w:rPr>
                <w:rFonts w:hint="eastAsia" w:ascii="仿宋_GB2312" w:eastAsia="仿宋_GB2312"/>
                <w:szCs w:val="21"/>
              </w:rPr>
              <w:t>安全性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761"/>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部门的资产是否保存完整、使用合规、配置合理、处置规范、收入及时足额上缴计满分，每一项不达标扣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资产保存是否完整；</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资产配置是否合理；</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资产处置是否规范；</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资产账务管理是否合规，是否帐实相符；</w:t>
            </w:r>
            <w:r>
              <w:rPr>
                <w:rFonts w:ascii="仿宋_GB2312" w:eastAsia="仿宋_GB2312"/>
                <w:szCs w:val="21"/>
              </w:rPr>
              <w:br w:type="textWrapping"/>
            </w:r>
            <w:r>
              <w:rPr>
                <w:rFonts w:hint="eastAsia" w:ascii="仿宋_GB2312" w:hAnsi="宋体" w:eastAsia="仿宋_GB2312" w:cs="宋体"/>
                <w:szCs w:val="21"/>
              </w:rPr>
              <w:t>⑤</w:t>
            </w:r>
            <w:r>
              <w:rPr>
                <w:rFonts w:hint="eastAsia" w:ascii="仿宋_GB2312" w:eastAsia="仿宋_GB2312"/>
                <w:szCs w:val="21"/>
              </w:rPr>
              <w:t>资产是否有偿使用及处置收入及时足额上缴。</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固定资产</w:t>
            </w:r>
          </w:p>
          <w:p>
            <w:pPr>
              <w:spacing w:line="320" w:lineRule="exact"/>
              <w:jc w:val="center"/>
              <w:rPr>
                <w:rFonts w:ascii="仿宋_GB2312" w:eastAsia="仿宋_GB2312"/>
                <w:szCs w:val="21"/>
              </w:rPr>
            </w:pPr>
            <w:r>
              <w:rPr>
                <w:rFonts w:hint="eastAsia" w:ascii="仿宋_GB2312" w:eastAsia="仿宋_GB2312"/>
                <w:szCs w:val="21"/>
              </w:rPr>
              <w:t>利用率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计满分，每降低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固定资产利用率</w:t>
            </w:r>
            <w:r>
              <w:rPr>
                <w:rFonts w:ascii="仿宋_GB2312" w:eastAsia="仿宋_GB2312"/>
                <w:szCs w:val="21"/>
              </w:rPr>
              <w:t>=</w:t>
            </w:r>
            <w:r>
              <w:rPr>
                <w:rFonts w:hint="eastAsia" w:ascii="仿宋_GB2312" w:eastAsia="仿宋_GB2312"/>
                <w:szCs w:val="21"/>
              </w:rPr>
              <w:t>（实际在用固定资产总额</w:t>
            </w:r>
            <w:r>
              <w:rPr>
                <w:rFonts w:ascii="仿宋_GB2312" w:eastAsia="仿宋_GB2312"/>
                <w:szCs w:val="21"/>
              </w:rPr>
              <w:t>/</w:t>
            </w:r>
            <w:r>
              <w:rPr>
                <w:rFonts w:hint="eastAsia" w:ascii="仿宋_GB2312" w:eastAsia="仿宋_GB2312"/>
                <w:szCs w:val="21"/>
              </w:rPr>
              <w:t>所有固定资产总额）×</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9" w:hRule="atLeast"/>
          <w:jc w:val="center"/>
        </w:trPr>
        <w:tc>
          <w:tcPr>
            <w:tcW w:w="666" w:type="dxa"/>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产出（</w:t>
            </w:r>
            <w:r>
              <w:rPr>
                <w:rFonts w:ascii="仿宋_GB2312" w:eastAsia="仿宋_GB2312"/>
                <w:szCs w:val="21"/>
              </w:rPr>
              <w:t>20</w:t>
            </w:r>
            <w:r>
              <w:rPr>
                <w:rFonts w:hint="eastAsia" w:ascii="仿宋_GB2312" w:eastAsia="仿宋_GB2312"/>
                <w:szCs w:val="21"/>
              </w:rPr>
              <w:t>分）</w:t>
            </w:r>
          </w:p>
        </w:tc>
        <w:tc>
          <w:tcPr>
            <w:tcW w:w="866"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职责</w:t>
            </w:r>
            <w:r>
              <w:rPr>
                <w:rFonts w:ascii="仿宋_GB2312" w:eastAsia="仿宋_GB2312"/>
                <w:szCs w:val="21"/>
              </w:rPr>
              <w:br w:type="textWrapping"/>
            </w: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实际</w:t>
            </w:r>
          </w:p>
          <w:p>
            <w:pPr>
              <w:spacing w:line="320" w:lineRule="exact"/>
              <w:jc w:val="center"/>
              <w:rPr>
                <w:rFonts w:ascii="仿宋_GB2312" w:eastAsia="仿宋_GB2312"/>
                <w:szCs w:val="21"/>
              </w:rPr>
            </w:pPr>
            <w:r>
              <w:rPr>
                <w:rFonts w:hint="eastAsia" w:ascii="仿宋_GB2312" w:eastAsia="仿宋_GB2312"/>
                <w:szCs w:val="21"/>
              </w:rPr>
              <w:t>完成率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实际完成率</w:t>
            </w:r>
            <w:r>
              <w:rPr>
                <w:rFonts w:ascii="仿宋_GB2312" w:eastAsia="仿宋_GB2312"/>
                <w:szCs w:val="21"/>
              </w:rPr>
              <w:t>=</w:t>
            </w:r>
            <w:r>
              <w:rPr>
                <w:rFonts w:hint="eastAsia" w:ascii="仿宋_GB2312" w:eastAsia="仿宋_GB2312"/>
                <w:szCs w:val="21"/>
              </w:rPr>
              <w:t>（实际完成工作数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实际完成工作数：一定时期（年度或规划期）内部门实际完成工作任务的数量。</w:t>
            </w:r>
            <w:r>
              <w:rPr>
                <w:rFonts w:ascii="仿宋_GB2312" w:eastAsia="仿宋_GB2312"/>
                <w:szCs w:val="21"/>
              </w:rPr>
              <w:br w:type="textWrapping"/>
            </w:r>
            <w:r>
              <w:rPr>
                <w:rFonts w:hint="eastAsia" w:ascii="仿宋_GB2312" w:eastAsia="仿宋_GB2312"/>
                <w:szCs w:val="21"/>
              </w:rPr>
              <w:t>计划工作数：部门整体绩效目标确定的一定时期（年度或规划期）内预计完成工作任务的数量。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产</w:t>
            </w:r>
          </w:p>
          <w:p>
            <w:pPr>
              <w:spacing w:line="320" w:lineRule="exact"/>
              <w:jc w:val="center"/>
              <w:rPr>
                <w:rFonts w:ascii="仿宋_GB2312" w:eastAsia="仿宋_GB2312"/>
                <w:szCs w:val="21"/>
              </w:rPr>
            </w:pPr>
            <w:r>
              <w:rPr>
                <w:rFonts w:hint="eastAsia" w:ascii="仿宋_GB2312" w:eastAsia="仿宋_GB2312"/>
                <w:szCs w:val="21"/>
              </w:rPr>
              <w:t>出</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职责</w:t>
            </w:r>
            <w:r>
              <w:rPr>
                <w:rFonts w:ascii="仿宋_GB2312" w:eastAsia="仿宋_GB2312"/>
                <w:szCs w:val="21"/>
              </w:rPr>
              <w:br w:type="textWrapping"/>
            </w: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完成</w:t>
            </w:r>
          </w:p>
          <w:p>
            <w:pPr>
              <w:spacing w:line="320" w:lineRule="exact"/>
              <w:jc w:val="center"/>
              <w:rPr>
                <w:rFonts w:ascii="仿宋_GB2312" w:eastAsia="仿宋_GB2312"/>
                <w:szCs w:val="21"/>
              </w:rPr>
            </w:pPr>
            <w:r>
              <w:rPr>
                <w:rFonts w:hint="eastAsia" w:ascii="仿宋_GB2312" w:eastAsia="仿宋_GB2312"/>
                <w:szCs w:val="21"/>
              </w:rPr>
              <w:t>及时率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完成及时率</w:t>
            </w:r>
            <w:r>
              <w:rPr>
                <w:rFonts w:ascii="仿宋_GB2312" w:eastAsia="仿宋_GB2312"/>
                <w:szCs w:val="21"/>
              </w:rPr>
              <w:t>=</w:t>
            </w:r>
            <w:r>
              <w:rPr>
                <w:rFonts w:hint="eastAsia" w:ascii="仿宋_GB2312" w:eastAsia="仿宋_GB2312"/>
                <w:szCs w:val="21"/>
              </w:rPr>
              <w:t>（及时完成实际工作数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及时完成实际工作数：部门按照整体绩效目标确定的时限实际完成的工作任务数量。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质量</w:t>
            </w:r>
          </w:p>
          <w:p>
            <w:pPr>
              <w:spacing w:line="320" w:lineRule="exact"/>
              <w:jc w:val="center"/>
              <w:rPr>
                <w:rFonts w:ascii="仿宋_GB2312" w:eastAsia="仿宋_GB2312"/>
                <w:szCs w:val="21"/>
              </w:rPr>
            </w:pPr>
            <w:r>
              <w:rPr>
                <w:rFonts w:hint="eastAsia" w:ascii="仿宋_GB2312" w:eastAsia="仿宋_GB2312"/>
                <w:szCs w:val="21"/>
              </w:rPr>
              <w:t>达标率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质量达标率</w:t>
            </w:r>
            <w:r>
              <w:rPr>
                <w:rFonts w:ascii="仿宋_GB2312" w:eastAsia="仿宋_GB2312"/>
                <w:szCs w:val="21"/>
              </w:rPr>
              <w:t>=</w:t>
            </w:r>
            <w:r>
              <w:rPr>
                <w:rFonts w:hint="eastAsia" w:ascii="仿宋_GB2312" w:eastAsia="仿宋_GB2312"/>
                <w:szCs w:val="21"/>
              </w:rPr>
              <w:t>（质量达标实际工作数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质量达标实际工作数：一定时期（年度或规划期）内部门实际完成工作数中达到部门绩效目标要求（绩效标准值）的工作任务数量。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重点工作</w:t>
            </w:r>
          </w:p>
          <w:p>
            <w:pPr>
              <w:spacing w:line="320" w:lineRule="exact"/>
              <w:jc w:val="center"/>
              <w:rPr>
                <w:rFonts w:ascii="仿宋_GB2312" w:eastAsia="仿宋_GB2312"/>
                <w:szCs w:val="21"/>
              </w:rPr>
            </w:pPr>
            <w:r>
              <w:rPr>
                <w:rFonts w:hint="eastAsia" w:ascii="仿宋_GB2312" w:eastAsia="仿宋_GB2312"/>
                <w:szCs w:val="21"/>
              </w:rPr>
              <w:t>办结率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根据绩效办</w:t>
            </w:r>
            <w:r>
              <w:rPr>
                <w:rFonts w:ascii="仿宋_GB2312" w:eastAsia="仿宋_GB2312"/>
                <w:szCs w:val="21"/>
              </w:rPr>
              <w:t>2019</w:t>
            </w:r>
            <w:r>
              <w:rPr>
                <w:rFonts w:hint="eastAsia" w:ascii="仿宋_GB2312" w:eastAsia="仿宋_GB2312"/>
                <w:szCs w:val="21"/>
              </w:rPr>
              <w:t>年对各部门为民办实事和部门重点工程与重点工作考核分数折算。该项得分</w:t>
            </w:r>
            <w:r>
              <w:rPr>
                <w:rFonts w:ascii="仿宋_GB2312" w:eastAsia="仿宋_GB2312"/>
                <w:szCs w:val="21"/>
              </w:rPr>
              <w:t>=</w:t>
            </w:r>
            <w:r>
              <w:rPr>
                <w:rFonts w:hint="eastAsia" w:ascii="仿宋_GB2312" w:eastAsia="仿宋_GB2312"/>
                <w:szCs w:val="21"/>
              </w:rPr>
              <w:t>（绩效办对应部分考核得分）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重点工作办结率</w:t>
            </w:r>
            <w:r>
              <w:rPr>
                <w:rFonts w:ascii="仿宋_GB2312" w:eastAsia="仿宋_GB2312"/>
                <w:szCs w:val="21"/>
              </w:rPr>
              <w:t>=</w:t>
            </w:r>
            <w:r>
              <w:rPr>
                <w:rFonts w:hint="eastAsia" w:ascii="仿宋_GB2312" w:eastAsia="仿宋_GB2312"/>
                <w:szCs w:val="21"/>
              </w:rPr>
              <w:t>（重点工作实际完成数</w:t>
            </w:r>
            <w:r>
              <w:rPr>
                <w:rFonts w:ascii="仿宋_GB2312" w:eastAsia="仿宋_GB2312"/>
                <w:szCs w:val="21"/>
              </w:rPr>
              <w:t>/</w:t>
            </w:r>
            <w:r>
              <w:rPr>
                <w:rFonts w:hint="eastAsia" w:ascii="仿宋_GB2312" w:eastAsia="仿宋_GB2312"/>
                <w:szCs w:val="21"/>
              </w:rPr>
              <w:t>交办或下达数）×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重点工作是指党委、政府、人大、相关部门交办或下达的工作任务。</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效</w:t>
            </w:r>
          </w:p>
          <w:p>
            <w:pPr>
              <w:spacing w:line="320" w:lineRule="exact"/>
              <w:jc w:val="center"/>
              <w:rPr>
                <w:rFonts w:ascii="仿宋_GB2312" w:eastAsia="仿宋_GB2312"/>
                <w:szCs w:val="21"/>
              </w:rPr>
            </w:pPr>
            <w:r>
              <w:rPr>
                <w:rFonts w:hint="eastAsia" w:ascii="仿宋_GB2312" w:eastAsia="仿宋_GB2312"/>
                <w:szCs w:val="21"/>
              </w:rPr>
              <w:t>果</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履职</w:t>
            </w:r>
            <w:r>
              <w:rPr>
                <w:rFonts w:ascii="仿宋_GB2312" w:eastAsia="仿宋_GB2312"/>
                <w:szCs w:val="21"/>
              </w:rPr>
              <w:br w:type="textWrapping"/>
            </w:r>
            <w:r>
              <w:rPr>
                <w:rFonts w:hint="eastAsia" w:ascii="仿宋_GB2312" w:eastAsia="仿宋_GB2312"/>
                <w:szCs w:val="21"/>
              </w:rPr>
              <w:t>效益</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经济效益（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部门履行职责对经济发展所带来的直接或间接影响。</w:t>
            </w:r>
          </w:p>
        </w:tc>
        <w:tc>
          <w:tcPr>
            <w:tcW w:w="4252" w:type="dxa"/>
            <w:vMerge w:val="restart"/>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此三项指标为设置部门整体支出绩效评价指标时必须考虑的共性要素，可根据部门实际并结合部门整体支出绩效目标设立情况有选择的进行设置，并将其细化为相应的个性化指标。</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部门履行职责对社会发展所带来的直接或间接影响。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生态效益（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部门履行职责对生态环境所带来的直接或间接影响。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社会公众</w:t>
            </w:r>
          </w:p>
          <w:p>
            <w:pPr>
              <w:spacing w:line="320" w:lineRule="exact"/>
              <w:jc w:val="center"/>
              <w:rPr>
                <w:rFonts w:ascii="仿宋_GB2312" w:eastAsia="仿宋_GB2312"/>
                <w:szCs w:val="21"/>
              </w:rPr>
            </w:pPr>
            <w:r>
              <w:rPr>
                <w:rFonts w:hint="eastAsia" w:ascii="仿宋_GB2312" w:eastAsia="仿宋_GB2312"/>
                <w:szCs w:val="21"/>
              </w:rPr>
              <w:t>或服务对</w:t>
            </w:r>
          </w:p>
          <w:p>
            <w:pPr>
              <w:spacing w:line="320" w:lineRule="exact"/>
              <w:jc w:val="center"/>
              <w:rPr>
                <w:rFonts w:ascii="仿宋_GB2312" w:eastAsia="仿宋_GB2312"/>
                <w:szCs w:val="21"/>
              </w:rPr>
            </w:pPr>
            <w:r>
              <w:rPr>
                <w:rFonts w:hint="eastAsia" w:ascii="仿宋_GB2312" w:eastAsia="仿宋_GB2312"/>
                <w:szCs w:val="21"/>
              </w:rPr>
              <w:t>象满意度（</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社会公众或部门的服务对象对部门履职效果的满意程度。</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社会公众或服务对象是指部门履行职责而影响到的部门、群体或个人。一般采取社会调查的方式。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9643" w:type="dxa"/>
            <w:gridSpan w:val="5"/>
            <w:vAlign w:val="center"/>
          </w:tcPr>
          <w:p>
            <w:pPr>
              <w:spacing w:line="320" w:lineRule="exact"/>
              <w:ind w:left="105" w:leftChars="50" w:right="105" w:rightChars="50"/>
              <w:jc w:val="center"/>
              <w:rPr>
                <w:rFonts w:ascii="仿宋_GB2312" w:eastAsia="仿宋_GB2312"/>
                <w:szCs w:val="21"/>
              </w:rPr>
            </w:pP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97</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10" w:usb3="00000000" w:csb0="00040000" w:csb1="00000000"/>
  </w:font>
  <w:font w:name="方正小标宋_GBK">
    <w:altName w:val="SimSun-ExtB"/>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F1B75"/>
    <w:rsid w:val="352B0F25"/>
    <w:rsid w:val="6FEF1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2021-09-06T08:09:00Z</dcterms:created>
  <dc:creator>执子之爪</dc:creator>
  <cp:lastModifiedBy>执子之爪</cp:lastModifiedBy>
  <dcterms:modified xsi:type="dcterms:W3CDTF">2021-09-06T08:59:07Z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E4687B09CE5A4A048A7B8F89CD82680D</vt:lpwstr>
  </property>
</Properties>
</file>