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2020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widowControl/>
        <w:tabs>
          <w:tab w:val="left" w:pos="2593"/>
        </w:tabs>
        <w:jc w:val="left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 xml:space="preserve"> 填报单位：（盖章）</w:t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柿溪乡人民政府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1034.44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1034.44</w:t>
            </w:r>
          </w:p>
        </w:tc>
        <w:tc>
          <w:tcPr>
            <w:tcW w:w="374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1034.44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 一般公共预算：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522.53</w:t>
            </w:r>
          </w:p>
        </w:tc>
        <w:tc>
          <w:tcPr>
            <w:tcW w:w="374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1034.44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政府性基金拨款：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74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74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其他资金：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511.91</w:t>
            </w:r>
          </w:p>
        </w:tc>
        <w:tc>
          <w:tcPr>
            <w:tcW w:w="374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7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按照“一化四建”发展战略，紧紧围绕抓农业产业促整体发展，抓人居环境争先创优，抓综治维稳建设平安柿溪，抓安全生产杜绝事故发生，抓脱贫攻坚致力全面小康，抓五美乡村建设提升形象，保持持续健康稳定发展。</w:t>
            </w:r>
            <w:r>
              <w:rPr>
                <w:rFonts w:hint="eastAsia" w:ascii="仿宋_GB2312" w:eastAsia="仿宋_GB2312"/>
                <w:kern w:val="0"/>
                <w:szCs w:val="21"/>
              </w:rPr>
              <w:t>                                   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目标1：贯彻执行规划建设，基础设施建设，稳定和完善农村基本经营管理全面实施下政府各项决策部署，确保各项工作目标任务圆满完成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目标2：计划完成公务车辆运行费支出预算金额的100%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kern w:val="0"/>
                <w:szCs w:val="21"/>
              </w:rPr>
              <w:t>                                         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目标3：计划完成基本支出预算金额的100% 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仿宋_GB2312" w:eastAsia="仿宋_GB2312"/>
                <w:kern w:val="0"/>
                <w:szCs w:val="21"/>
              </w:rPr>
              <w:t>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06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62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06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财政供养人员控制率</w:t>
            </w:r>
          </w:p>
        </w:tc>
        <w:tc>
          <w:tcPr>
            <w:tcW w:w="26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三公经费控制率</w:t>
            </w:r>
          </w:p>
        </w:tc>
        <w:tc>
          <w:tcPr>
            <w:tcW w:w="26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政府采购执行率</w:t>
            </w:r>
          </w:p>
        </w:tc>
        <w:tc>
          <w:tcPr>
            <w:tcW w:w="26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固定资产利用率</w:t>
            </w:r>
          </w:p>
        </w:tc>
        <w:tc>
          <w:tcPr>
            <w:tcW w:w="26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6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06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人员、公用经费等不超出预算</w:t>
            </w:r>
          </w:p>
        </w:tc>
        <w:tc>
          <w:tcPr>
            <w:tcW w:w="26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76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06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各项工作按时完成</w:t>
            </w:r>
          </w:p>
        </w:tc>
        <w:tc>
          <w:tcPr>
            <w:tcW w:w="26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76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84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06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推进产业结构调整，发展新兴产业，提高就业率，为居民创收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6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6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06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保障基层社会民生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kern w:val="0"/>
                <w:szCs w:val="21"/>
              </w:rPr>
              <w:t>加强社会主义新农村建设</w:t>
            </w:r>
          </w:p>
        </w:tc>
        <w:tc>
          <w:tcPr>
            <w:tcW w:w="26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6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206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完善基础设施建设，提高农村生活质量</w:t>
            </w:r>
          </w:p>
        </w:tc>
        <w:tc>
          <w:tcPr>
            <w:tcW w:w="26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6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06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落实各项惠农扶贫政策</w:t>
            </w:r>
          </w:p>
        </w:tc>
        <w:tc>
          <w:tcPr>
            <w:tcW w:w="26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6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06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提升服务质量，创新服务方式</w:t>
            </w:r>
          </w:p>
        </w:tc>
        <w:tc>
          <w:tcPr>
            <w:tcW w:w="26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  <w:lang w:eastAsia="zh-CN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唐丁峰</w:t>
      </w:r>
      <w:r>
        <w:rPr>
          <w:rFonts w:hint="eastAsia" w:ascii="仿宋_GB2312" w:eastAsia="仿宋_GB2312"/>
          <w:kern w:val="0"/>
          <w:szCs w:val="21"/>
        </w:rPr>
        <w:t xml:space="preserve"> 联系电话：13517453575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2020.6.22</w:t>
      </w:r>
      <w:bookmarkStart w:id="0" w:name="_GoBack"/>
      <w:bookmarkEnd w:id="0"/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>单位负责人签字</w:t>
      </w:r>
      <w:r>
        <w:rPr>
          <w:rFonts w:hint="eastAsia" w:ascii="仿宋_GB2312" w:eastAsia="仿宋_GB2312"/>
          <w:kern w:val="0"/>
          <w:szCs w:val="21"/>
          <w:lang w:eastAsia="zh-CN"/>
        </w:rPr>
        <w:t>：包昌锡</w:t>
      </w:r>
    </w:p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14CD9"/>
    <w:rsid w:val="05310BCA"/>
    <w:rsid w:val="0ED104D9"/>
    <w:rsid w:val="34B05920"/>
    <w:rsid w:val="47F14CD9"/>
    <w:rsid w:val="5AC6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2020-06-17T04:03:00Z</dcterms:created>
  <dc:creator>玉林</dc:creator>
  <cp:lastModifiedBy>玉林</cp:lastModifiedBy>
  <dcterms:modified xsi:type="dcterms:W3CDTF">2020-06-18T02:08:13Z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