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15AC6">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仿宋" w:hAnsi="仿宋" w:eastAsia="仿宋"/>
          <w:sz w:val="24"/>
        </w:rPr>
      </w:pPr>
      <w:r>
        <w:rPr>
          <w:rFonts w:ascii="仿宋" w:hAnsi="仿宋" w:eastAsia="仿宋"/>
          <w:sz w:val="28"/>
          <w:szCs w:val="28"/>
        </w:rPr>
        <w:t>附件</w:t>
      </w:r>
      <w:r>
        <w:rPr>
          <w:rFonts w:hint="eastAsia" w:ascii="仿宋" w:hAnsi="仿宋" w:eastAsia="仿宋"/>
          <w:sz w:val="28"/>
          <w:szCs w:val="28"/>
        </w:rPr>
        <w:t xml:space="preserve">4 </w:t>
      </w:r>
      <w:r>
        <w:rPr>
          <w:rFonts w:hint="eastAsia" w:ascii="仿宋" w:hAnsi="仿宋" w:eastAsia="仿宋"/>
          <w:sz w:val="24"/>
        </w:rPr>
        <w:t xml:space="preserve"> </w:t>
      </w:r>
    </w:p>
    <w:p w14:paraId="7D96FB74">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仿宋" w:hAnsi="仿宋" w:eastAsia="仿宋"/>
          <w:sz w:val="24"/>
        </w:rPr>
      </w:pPr>
    </w:p>
    <w:p w14:paraId="7AFF9F1F">
      <w:pPr>
        <w:spacing w:line="600" w:lineRule="exact"/>
        <w:jc w:val="center"/>
        <w:rPr>
          <w:sz w:val="24"/>
        </w:rPr>
      </w:pPr>
    </w:p>
    <w:p w14:paraId="2DD2BB76">
      <w:pPr>
        <w:spacing w:line="600" w:lineRule="exact"/>
        <w:jc w:val="center"/>
        <w:rPr>
          <w:sz w:val="24"/>
        </w:rPr>
      </w:pPr>
    </w:p>
    <w:p w14:paraId="6661931F">
      <w:pPr>
        <w:widowControl/>
        <w:spacing w:line="640" w:lineRule="exact"/>
        <w:jc w:val="center"/>
        <w:rPr>
          <w:rFonts w:hint="eastAsia" w:ascii="黑体" w:hAnsi="黑体" w:eastAsia="黑体" w:cs="黑体"/>
          <w:bCs/>
          <w:sz w:val="44"/>
        </w:rPr>
      </w:pPr>
      <w:r>
        <w:rPr>
          <w:rFonts w:hint="eastAsia" w:ascii="黑体" w:hAnsi="黑体" w:eastAsia="黑体" w:cs="黑体"/>
          <w:bCs/>
          <w:sz w:val="44"/>
        </w:rPr>
        <w:t>2023年度</w:t>
      </w:r>
      <w:r>
        <w:rPr>
          <w:rFonts w:hint="eastAsia" w:ascii="黑体" w:hAnsi="黑体" w:eastAsia="黑体" w:cs="黑体"/>
          <w:bCs/>
          <w:sz w:val="44"/>
          <w:lang w:val="en-US" w:eastAsia="zh-CN"/>
        </w:rPr>
        <w:t>辰溪县</w:t>
      </w:r>
      <w:r>
        <w:rPr>
          <w:rFonts w:hint="eastAsia" w:ascii="黑体" w:hAnsi="黑体" w:eastAsia="黑体" w:cs="黑体"/>
          <w:bCs/>
          <w:sz w:val="44"/>
          <w:lang w:eastAsia="zh-CN"/>
        </w:rPr>
        <w:t>修溪镇人民政府</w:t>
      </w:r>
      <w:r>
        <w:rPr>
          <w:rFonts w:hint="eastAsia" w:ascii="黑体" w:hAnsi="黑体" w:eastAsia="黑体" w:cs="黑体"/>
          <w:bCs/>
          <w:sz w:val="44"/>
        </w:rPr>
        <w:t>部门整体支出绩效自评报告</w:t>
      </w:r>
    </w:p>
    <w:p w14:paraId="7C5CEEAE">
      <w:pPr>
        <w:spacing w:line="600" w:lineRule="exact"/>
        <w:jc w:val="center"/>
        <w:rPr>
          <w:sz w:val="24"/>
        </w:rPr>
      </w:pPr>
    </w:p>
    <w:p w14:paraId="781ABE5A">
      <w:pPr>
        <w:spacing w:line="600" w:lineRule="exact"/>
        <w:jc w:val="center"/>
        <w:rPr>
          <w:sz w:val="24"/>
        </w:rPr>
      </w:pPr>
    </w:p>
    <w:p w14:paraId="11BF2918">
      <w:pPr>
        <w:spacing w:line="600" w:lineRule="exact"/>
        <w:jc w:val="center"/>
        <w:rPr>
          <w:sz w:val="24"/>
        </w:rPr>
      </w:pPr>
    </w:p>
    <w:p w14:paraId="619B1C14">
      <w:pPr>
        <w:spacing w:line="600" w:lineRule="exact"/>
        <w:jc w:val="center"/>
        <w:rPr>
          <w:sz w:val="24"/>
        </w:rPr>
      </w:pPr>
    </w:p>
    <w:p w14:paraId="6410CF10">
      <w:pPr>
        <w:spacing w:line="600" w:lineRule="exact"/>
        <w:jc w:val="center"/>
        <w:rPr>
          <w:sz w:val="24"/>
        </w:rPr>
      </w:pPr>
    </w:p>
    <w:p w14:paraId="06F5D070">
      <w:pPr>
        <w:spacing w:line="600" w:lineRule="exact"/>
        <w:jc w:val="center"/>
        <w:rPr>
          <w:sz w:val="24"/>
        </w:rPr>
      </w:pPr>
    </w:p>
    <w:p w14:paraId="5621ED3F">
      <w:pPr>
        <w:spacing w:line="600" w:lineRule="exact"/>
        <w:jc w:val="center"/>
        <w:rPr>
          <w:sz w:val="24"/>
        </w:rPr>
      </w:pPr>
    </w:p>
    <w:p w14:paraId="16846A67">
      <w:pPr>
        <w:spacing w:line="600" w:lineRule="exact"/>
        <w:jc w:val="center"/>
        <w:rPr>
          <w:sz w:val="24"/>
        </w:rPr>
      </w:pPr>
    </w:p>
    <w:p w14:paraId="08084F27">
      <w:pPr>
        <w:spacing w:line="600" w:lineRule="exact"/>
        <w:jc w:val="center"/>
        <w:rPr>
          <w:sz w:val="24"/>
        </w:rPr>
      </w:pPr>
    </w:p>
    <w:p w14:paraId="42764080">
      <w:pPr>
        <w:spacing w:line="600" w:lineRule="exact"/>
        <w:jc w:val="center"/>
        <w:rPr>
          <w:sz w:val="24"/>
        </w:rPr>
      </w:pPr>
    </w:p>
    <w:p w14:paraId="7E1D549D">
      <w:pPr>
        <w:spacing w:line="600" w:lineRule="exact"/>
        <w:jc w:val="center"/>
        <w:rPr>
          <w:sz w:val="24"/>
        </w:rPr>
      </w:pPr>
    </w:p>
    <w:p w14:paraId="3F258864">
      <w:pPr>
        <w:spacing w:line="600" w:lineRule="exact"/>
        <w:jc w:val="center"/>
        <w:rPr>
          <w:sz w:val="24"/>
        </w:rPr>
      </w:pPr>
    </w:p>
    <w:p w14:paraId="5563B836">
      <w:pPr>
        <w:spacing w:line="600" w:lineRule="exact"/>
        <w:rPr>
          <w:sz w:val="24"/>
        </w:rPr>
      </w:pPr>
    </w:p>
    <w:p w14:paraId="2D43D45F">
      <w:pPr>
        <w:spacing w:line="600" w:lineRule="exact"/>
        <w:jc w:val="center"/>
        <w:rPr>
          <w:sz w:val="32"/>
          <w:szCs w:val="32"/>
          <w:u w:val="single"/>
        </w:rPr>
      </w:pPr>
      <w:r>
        <w:rPr>
          <w:rFonts w:hint="eastAsia"/>
          <w:sz w:val="32"/>
          <w:szCs w:val="32"/>
        </w:rPr>
        <w:t>部门（单位）名称：</w:t>
      </w:r>
      <w:r>
        <w:rPr>
          <w:rFonts w:hint="eastAsia"/>
          <w:sz w:val="32"/>
          <w:szCs w:val="32"/>
          <w:u w:val="single"/>
          <w:lang w:eastAsia="zh-CN"/>
        </w:rPr>
        <w:t>辰溪县修溪镇人民政府</w:t>
      </w:r>
      <w:r>
        <w:rPr>
          <w:rFonts w:hint="eastAsia"/>
          <w:sz w:val="32"/>
          <w:szCs w:val="32"/>
          <w:u w:val="single"/>
        </w:rPr>
        <w:t xml:space="preserve"> </w:t>
      </w:r>
    </w:p>
    <w:p w14:paraId="5C6276E5">
      <w:pPr>
        <w:spacing w:line="600" w:lineRule="exact"/>
        <w:ind w:firstLine="640"/>
        <w:jc w:val="center"/>
        <w:rPr>
          <w:sz w:val="32"/>
          <w:szCs w:val="32"/>
        </w:rPr>
      </w:pPr>
      <w:r>
        <w:rPr>
          <w:rFonts w:hint="eastAsia"/>
          <w:sz w:val="32"/>
          <w:szCs w:val="32"/>
          <w:lang w:val="en-US" w:eastAsia="zh-CN"/>
        </w:rPr>
        <w:t>2024</w:t>
      </w:r>
      <w:r>
        <w:rPr>
          <w:rFonts w:hint="eastAsia"/>
          <w:sz w:val="32"/>
          <w:szCs w:val="32"/>
        </w:rPr>
        <w:t xml:space="preserve">年 </w:t>
      </w:r>
      <w:r>
        <w:rPr>
          <w:rFonts w:hint="eastAsia"/>
          <w:sz w:val="32"/>
          <w:szCs w:val="32"/>
          <w:lang w:val="en-US" w:eastAsia="zh-CN"/>
        </w:rPr>
        <w:t>4</w:t>
      </w:r>
      <w:r>
        <w:rPr>
          <w:rFonts w:hint="eastAsia"/>
          <w:sz w:val="32"/>
          <w:szCs w:val="32"/>
        </w:rPr>
        <w:t>月</w:t>
      </w:r>
      <w:r>
        <w:rPr>
          <w:rFonts w:hint="eastAsia"/>
          <w:sz w:val="32"/>
          <w:szCs w:val="32"/>
          <w:lang w:val="en-US" w:eastAsia="zh-CN"/>
        </w:rPr>
        <w:t>8</w:t>
      </w:r>
      <w:r>
        <w:rPr>
          <w:rFonts w:hint="eastAsia"/>
          <w:sz w:val="32"/>
          <w:szCs w:val="32"/>
        </w:rPr>
        <w:t xml:space="preserve"> 日</w:t>
      </w:r>
    </w:p>
    <w:p w14:paraId="6651D468">
      <w:pPr>
        <w:spacing w:line="600" w:lineRule="exact"/>
        <w:jc w:val="center"/>
        <w:rPr>
          <w:rFonts w:hint="eastAsia" w:eastAsia="方正小标宋_GBK"/>
          <w:sz w:val="36"/>
          <w:szCs w:val="36"/>
        </w:rPr>
      </w:pPr>
    </w:p>
    <w:p w14:paraId="0627841E">
      <w:pPr>
        <w:rPr>
          <w:rFonts w:hint="default" w:eastAsia="方正小标宋_GBK"/>
          <w:sz w:val="36"/>
          <w:szCs w:val="36"/>
          <w:lang w:val="en-US" w:eastAsia="zh-CN"/>
        </w:rPr>
      </w:pPr>
    </w:p>
    <w:p w14:paraId="6A07C702">
      <w:pPr>
        <w:widowControl/>
        <w:spacing w:line="640" w:lineRule="exact"/>
        <w:jc w:val="center"/>
        <w:rPr>
          <w:rFonts w:hint="eastAsia" w:ascii="黑体" w:hAnsi="黑体" w:eastAsia="黑体" w:cs="黑体"/>
          <w:bCs/>
          <w:sz w:val="44"/>
        </w:rPr>
      </w:pPr>
      <w:bookmarkStart w:id="0" w:name="_GoBack"/>
      <w:bookmarkEnd w:id="0"/>
      <w:r>
        <w:rPr>
          <w:rFonts w:hint="eastAsia" w:ascii="黑体" w:hAnsi="黑体" w:eastAsia="黑体" w:cs="黑体"/>
          <w:bCs/>
          <w:sz w:val="44"/>
        </w:rPr>
        <w:t>2023年度</w:t>
      </w:r>
      <w:r>
        <w:rPr>
          <w:rFonts w:hint="eastAsia" w:ascii="黑体" w:hAnsi="黑体" w:eastAsia="黑体" w:cs="黑体"/>
          <w:bCs/>
          <w:sz w:val="44"/>
          <w:lang w:eastAsia="zh-CN"/>
        </w:rPr>
        <w:t>修溪镇人民政府</w:t>
      </w:r>
      <w:r>
        <w:rPr>
          <w:rFonts w:hint="eastAsia" w:ascii="黑体" w:hAnsi="黑体" w:eastAsia="黑体" w:cs="黑体"/>
          <w:bCs/>
          <w:sz w:val="44"/>
        </w:rPr>
        <w:t>部门整体支出绩效自评报告</w:t>
      </w:r>
    </w:p>
    <w:p w14:paraId="3D9545C7">
      <w:pPr>
        <w:spacing w:line="600" w:lineRule="exact"/>
        <w:jc w:val="center"/>
        <w:rPr>
          <w:rFonts w:eastAsia="方正小标宋_GBK"/>
          <w:sz w:val="32"/>
          <w:szCs w:val="32"/>
        </w:rPr>
      </w:pPr>
    </w:p>
    <w:p w14:paraId="44845F63">
      <w:pPr>
        <w:pStyle w:val="7"/>
        <w:widowControl/>
        <w:numPr>
          <w:ilvl w:val="0"/>
          <w:numId w:val="1"/>
        </w:numPr>
        <w:spacing w:line="600" w:lineRule="exact"/>
        <w:ind w:left="640" w:firstLine="0" w:firstLineChars="0"/>
        <w:rPr>
          <w:rFonts w:hint="eastAsia" w:ascii="Times New Roman" w:hAnsi="Times New Roman" w:eastAsia="黑体"/>
          <w:sz w:val="32"/>
          <w:szCs w:val="32"/>
        </w:rPr>
      </w:pPr>
      <w:r>
        <w:rPr>
          <w:rFonts w:hint="eastAsia" w:ascii="Times New Roman" w:hAnsi="Times New Roman" w:eastAsia="黑体"/>
          <w:sz w:val="32"/>
          <w:szCs w:val="32"/>
        </w:rPr>
        <w:t>部门基本情况</w:t>
      </w:r>
    </w:p>
    <w:p w14:paraId="6B179DC5">
      <w:pPr>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（一）</w:t>
      </w:r>
      <w:r>
        <w:rPr>
          <w:rFonts w:hint="eastAsia" w:ascii="仿宋" w:hAnsi="仿宋" w:eastAsia="仿宋" w:cs="仿宋"/>
          <w:b/>
          <w:bCs/>
          <w:kern w:val="0"/>
          <w:sz w:val="32"/>
          <w:szCs w:val="32"/>
        </w:rPr>
        <w:t>部门职能与机构设置</w:t>
      </w:r>
    </w:p>
    <w:p w14:paraId="1C5D115A">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辰溪县</w:t>
      </w:r>
      <w:r>
        <w:rPr>
          <w:rFonts w:hint="eastAsia" w:ascii="仿宋" w:hAnsi="仿宋" w:eastAsia="仿宋" w:cs="仿宋"/>
          <w:kern w:val="0"/>
          <w:sz w:val="32"/>
          <w:szCs w:val="32"/>
          <w:lang w:eastAsia="zh-CN"/>
        </w:rPr>
        <w:t>修溪</w:t>
      </w:r>
      <w:r>
        <w:rPr>
          <w:rFonts w:hint="eastAsia" w:ascii="仿宋" w:hAnsi="仿宋" w:eastAsia="仿宋" w:cs="仿宋"/>
          <w:kern w:val="0"/>
          <w:sz w:val="32"/>
          <w:szCs w:val="32"/>
        </w:rPr>
        <w:t>镇人民政府基本职能：承担促进经济发展、搞好公共服务、加强社会管理、维护社会稳定等综合职能。具体职能如下：1、认真贯彻国家的方针政策、法律、法规，严格遵循财经纪律和各项规章制度。2、执行本级人民代表大会的决议和上级国家行政机关的决定和命令。3、执行本行政区域内的经济和社会发展计划、预算，管理本行政区域内的经济、教育、科学、文化、卫健、体育事业和财政、民政、司法行政等行政工作。4、保护社会主义的全民所有的财产和劳动群众集体所有的财产，保护公民私人所有的合法财产，维护社会秩序，保障公民的人身权利、民主权利和其他权利。5、保护各种经济组织的合法权益。6、办理上级人民政府交办的其他事项。</w:t>
      </w:r>
    </w:p>
    <w:p w14:paraId="37DDD1D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机构设置情况：</w:t>
      </w:r>
      <w:r>
        <w:rPr>
          <w:rFonts w:hint="eastAsia" w:ascii="仿宋" w:hAnsi="仿宋" w:eastAsia="仿宋" w:cs="仿宋"/>
          <w:kern w:val="0"/>
          <w:sz w:val="32"/>
          <w:szCs w:val="32"/>
          <w:lang w:eastAsia="zh-CN"/>
        </w:rPr>
        <w:t>修溪</w:t>
      </w:r>
      <w:r>
        <w:rPr>
          <w:rFonts w:hint="eastAsia" w:ascii="仿宋" w:hAnsi="仿宋" w:eastAsia="仿宋" w:cs="仿宋"/>
          <w:kern w:val="0"/>
          <w:sz w:val="32"/>
          <w:szCs w:val="32"/>
        </w:rPr>
        <w:t>镇人民政府属全额行政机关，是一级部门预算单位，根据编制部门机构改革批复方案，内设党政办公室、党建办公室、经济发展办公室、社会事务办公室、社会治安和应急管理办公室、自然资源和生态环境办公室、社会事务综合服务中心、农业综合服务中心、便民服务中心、综合行政执法大队、财政所。</w:t>
      </w:r>
    </w:p>
    <w:p w14:paraId="73815A8D">
      <w:pPr>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360" w:lineRule="auto"/>
        <w:ind w:firstLine="643" w:firstLineChars="200"/>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（二）</w:t>
      </w:r>
      <w:r>
        <w:rPr>
          <w:rFonts w:hint="eastAsia" w:ascii="仿宋" w:hAnsi="仿宋" w:eastAsia="仿宋" w:cs="仿宋"/>
          <w:b/>
          <w:bCs/>
          <w:kern w:val="0"/>
          <w:sz w:val="32"/>
          <w:szCs w:val="32"/>
        </w:rPr>
        <w:t>人员情况</w:t>
      </w:r>
    </w:p>
    <w:p w14:paraId="3820F731">
      <w:pPr>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人员情况：截至202</w:t>
      </w:r>
      <w:r>
        <w:rPr>
          <w:rFonts w:hint="eastAsia" w:ascii="仿宋" w:hAnsi="仿宋" w:eastAsia="仿宋" w:cs="仿宋"/>
          <w:sz w:val="32"/>
          <w:szCs w:val="32"/>
          <w:lang w:val="en-US" w:eastAsia="zh-CN"/>
        </w:rPr>
        <w:t>3</w:t>
      </w:r>
      <w:r>
        <w:rPr>
          <w:rFonts w:hint="eastAsia" w:ascii="仿宋" w:hAnsi="仿宋" w:eastAsia="仿宋" w:cs="仿宋"/>
          <w:sz w:val="32"/>
          <w:szCs w:val="32"/>
        </w:rPr>
        <w:t>年底，</w:t>
      </w:r>
      <w:r>
        <w:rPr>
          <w:rFonts w:hint="eastAsia" w:ascii="仿宋" w:hAnsi="仿宋" w:eastAsia="仿宋" w:cs="仿宋"/>
          <w:sz w:val="32"/>
          <w:szCs w:val="32"/>
          <w:lang w:eastAsia="zh-CN"/>
        </w:rPr>
        <w:t>修溪</w:t>
      </w:r>
      <w:r>
        <w:rPr>
          <w:rFonts w:hint="eastAsia" w:ascii="仿宋" w:hAnsi="仿宋" w:eastAsia="仿宋" w:cs="仿宋"/>
          <w:sz w:val="32"/>
          <w:szCs w:val="32"/>
        </w:rPr>
        <w:t>镇人民政府核定人员编制</w:t>
      </w:r>
      <w:r>
        <w:rPr>
          <w:rFonts w:hint="eastAsia" w:ascii="仿宋" w:hAnsi="仿宋" w:eastAsia="仿宋" w:cs="仿宋"/>
          <w:sz w:val="32"/>
          <w:szCs w:val="32"/>
          <w:lang w:val="en-US" w:eastAsia="zh-CN"/>
        </w:rPr>
        <w:t>68</w:t>
      </w:r>
      <w:r>
        <w:rPr>
          <w:rFonts w:hint="eastAsia" w:ascii="仿宋" w:hAnsi="仿宋" w:eastAsia="仿宋" w:cs="仿宋"/>
          <w:sz w:val="32"/>
          <w:szCs w:val="32"/>
        </w:rPr>
        <w:t>人，行政编制</w:t>
      </w:r>
      <w:r>
        <w:rPr>
          <w:rFonts w:hint="eastAsia" w:ascii="仿宋" w:hAnsi="仿宋" w:eastAsia="仿宋" w:cs="仿宋"/>
          <w:sz w:val="32"/>
          <w:szCs w:val="32"/>
          <w:lang w:val="en-US" w:eastAsia="zh-CN"/>
        </w:rPr>
        <w:t>24</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44</w:t>
      </w:r>
      <w:r>
        <w:rPr>
          <w:rFonts w:hint="eastAsia" w:ascii="仿宋" w:hAnsi="仿宋" w:eastAsia="仿宋" w:cs="仿宋"/>
          <w:sz w:val="32"/>
          <w:szCs w:val="32"/>
        </w:rPr>
        <w:t>人；实际在编</w:t>
      </w:r>
      <w:r>
        <w:rPr>
          <w:rFonts w:hint="eastAsia" w:ascii="仿宋" w:hAnsi="仿宋" w:eastAsia="仿宋" w:cs="仿宋"/>
          <w:sz w:val="32"/>
          <w:szCs w:val="32"/>
          <w:lang w:val="en-US" w:eastAsia="zh-CN"/>
        </w:rPr>
        <w:t>61</w:t>
      </w:r>
      <w:r>
        <w:rPr>
          <w:rFonts w:hint="eastAsia" w:ascii="仿宋" w:hAnsi="仿宋" w:eastAsia="仿宋" w:cs="仿宋"/>
          <w:sz w:val="32"/>
          <w:szCs w:val="32"/>
        </w:rPr>
        <w:t>人（行政编制</w:t>
      </w:r>
      <w:r>
        <w:rPr>
          <w:rFonts w:hint="eastAsia" w:ascii="仿宋" w:hAnsi="仿宋" w:eastAsia="仿宋" w:cs="仿宋"/>
          <w:sz w:val="32"/>
          <w:szCs w:val="32"/>
          <w:lang w:val="en-US" w:eastAsia="zh-CN"/>
        </w:rPr>
        <w:t>23</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38</w:t>
      </w:r>
      <w:r>
        <w:rPr>
          <w:rFonts w:hint="eastAsia" w:ascii="仿宋" w:hAnsi="仿宋" w:eastAsia="仿宋" w:cs="仿宋"/>
          <w:sz w:val="32"/>
          <w:szCs w:val="32"/>
        </w:rPr>
        <w:t>人），财政实际供给</w:t>
      </w:r>
      <w:r>
        <w:rPr>
          <w:rFonts w:hint="eastAsia" w:ascii="仿宋" w:hAnsi="仿宋" w:eastAsia="仿宋" w:cs="仿宋"/>
          <w:sz w:val="32"/>
          <w:szCs w:val="32"/>
          <w:lang w:val="en-US" w:eastAsia="zh-CN"/>
        </w:rPr>
        <w:t>61</w:t>
      </w:r>
      <w:r>
        <w:rPr>
          <w:rFonts w:hint="eastAsia" w:ascii="仿宋" w:hAnsi="仿宋" w:eastAsia="仿宋" w:cs="仿宋"/>
          <w:sz w:val="32"/>
          <w:szCs w:val="32"/>
        </w:rPr>
        <w:t>人。</w:t>
      </w:r>
    </w:p>
    <w:p w14:paraId="76B97BFF">
      <w:pPr>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360" w:lineRule="auto"/>
        <w:ind w:firstLine="643" w:firstLineChars="200"/>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lang w:val="en-US" w:eastAsia="zh-CN"/>
        </w:rPr>
        <w:t>三</w:t>
      </w: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rPr>
        <w:t>部门年度总体工作任务和重点工作任务</w:t>
      </w:r>
    </w:p>
    <w:p w14:paraId="5C65B946">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黑体"/>
          <w:sz w:val="32"/>
          <w:szCs w:val="32"/>
        </w:rPr>
      </w:pPr>
      <w:r>
        <w:rPr>
          <w:rFonts w:hint="eastAsia" w:ascii="仿宋" w:hAnsi="仿宋" w:eastAsia="仿宋" w:cs="仿宋"/>
          <w:kern w:val="0"/>
          <w:sz w:val="32"/>
          <w:szCs w:val="32"/>
        </w:rPr>
        <w:t>总体工作任务为执行乡人民代表大会的决议和上级国家行政机关的决定和命令；发展和管理本辖区的经济、教育、科学、文化、卫生、体育事业和财政、民政、公安、司法行政、计划生育等行政工作；维护社会秩序，确保社会稳定，保障公民的人身权利、民主权利和其他权利。重点工作任务为做好防灾减灾、优抚安置、低保、扶贫救济等社会救助工作；开展疫情防控工作；乡村环境卫生整治工作等。</w:t>
      </w:r>
    </w:p>
    <w:p w14:paraId="03E19C89">
      <w:pPr>
        <w:pStyle w:val="7"/>
        <w:widowControl/>
        <w:numPr>
          <w:ilvl w:val="0"/>
          <w:numId w:val="1"/>
        </w:numPr>
        <w:spacing w:line="600" w:lineRule="exact"/>
        <w:ind w:left="640" w:firstLine="0" w:firstLineChars="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一般公共预算支出情况</w:t>
      </w:r>
    </w:p>
    <w:p w14:paraId="15919E5D">
      <w:pPr>
        <w:pStyle w:val="7"/>
        <w:widowControl/>
        <w:numPr>
          <w:ilvl w:val="0"/>
          <w:numId w:val="2"/>
        </w:numPr>
        <w:spacing w:line="600" w:lineRule="exact"/>
        <w:ind w:left="640" w:firstLine="0" w:firstLineChars="0"/>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基本支出情况</w:t>
      </w:r>
    </w:p>
    <w:p w14:paraId="0FA464E1">
      <w:pPr>
        <w:pStyle w:val="7"/>
        <w:widowControl/>
        <w:numPr>
          <w:ilvl w:val="0"/>
          <w:numId w:val="0"/>
        </w:numPr>
        <w:spacing w:line="600" w:lineRule="exact"/>
        <w:ind w:left="640" w:leftChars="0"/>
        <w:rPr>
          <w:rFonts w:hint="default" w:ascii="Times New Roman" w:hAnsi="Times New Roman" w:eastAsia="仿宋"/>
          <w:sz w:val="32"/>
          <w:szCs w:val="32"/>
          <w:lang w:val="en-US" w:eastAsia="zh-CN"/>
        </w:rPr>
      </w:pPr>
      <w:r>
        <w:rPr>
          <w:rFonts w:hint="eastAsia" w:ascii="仿宋" w:hAnsi="仿宋" w:eastAsia="仿宋" w:cs="仿宋"/>
          <w:kern w:val="0"/>
          <w:sz w:val="32"/>
          <w:szCs w:val="32"/>
          <w:lang w:val="en-US" w:eastAsia="zh-CN"/>
        </w:rPr>
        <w:t>2023年一般公共</w:t>
      </w:r>
      <w:r>
        <w:rPr>
          <w:rFonts w:hint="eastAsia" w:ascii="仿宋" w:hAnsi="仿宋" w:eastAsia="仿宋" w:cs="仿宋"/>
          <w:kern w:val="0"/>
          <w:sz w:val="32"/>
          <w:szCs w:val="32"/>
        </w:rPr>
        <w:t>预算支出合计</w:t>
      </w:r>
      <w:r>
        <w:rPr>
          <w:rFonts w:hint="eastAsia" w:ascii="仿宋" w:hAnsi="仿宋" w:eastAsia="仿宋" w:cs="仿宋"/>
          <w:kern w:val="0"/>
          <w:sz w:val="32"/>
          <w:szCs w:val="32"/>
          <w:lang w:val="en-US" w:eastAsia="zh-CN"/>
        </w:rPr>
        <w:t>966.88</w:t>
      </w:r>
      <w:r>
        <w:rPr>
          <w:rFonts w:hint="eastAsia" w:ascii="仿宋" w:hAnsi="仿宋" w:eastAsia="仿宋" w:cs="仿宋"/>
          <w:kern w:val="0"/>
          <w:sz w:val="32"/>
          <w:szCs w:val="32"/>
        </w:rPr>
        <w:t>万元，其中：基本支出</w:t>
      </w:r>
      <w:r>
        <w:rPr>
          <w:rFonts w:hint="eastAsia" w:ascii="仿宋" w:hAnsi="仿宋" w:eastAsia="仿宋" w:cs="仿宋"/>
          <w:kern w:val="0"/>
          <w:sz w:val="32"/>
          <w:szCs w:val="32"/>
          <w:lang w:val="en-US" w:eastAsia="zh-CN"/>
        </w:rPr>
        <w:t>953.52</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98</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基本支出中工资福利支出</w:t>
      </w:r>
      <w:r>
        <w:rPr>
          <w:rFonts w:hint="eastAsia" w:ascii="仿宋" w:hAnsi="仿宋" w:eastAsia="仿宋" w:cs="仿宋"/>
          <w:kern w:val="0"/>
          <w:sz w:val="32"/>
          <w:szCs w:val="32"/>
          <w:lang w:val="en-US" w:eastAsia="zh-CN"/>
        </w:rPr>
        <w:t>882万元，占比92%，商品和服务支出16.54万元，占比1.7%；对个人和家庭的补助1.9万元，占比0.02%。</w:t>
      </w:r>
    </w:p>
    <w:p w14:paraId="33009E47">
      <w:pPr>
        <w:pStyle w:val="7"/>
        <w:widowControl/>
        <w:numPr>
          <w:ilvl w:val="0"/>
          <w:numId w:val="2"/>
        </w:numPr>
        <w:spacing w:line="600" w:lineRule="exact"/>
        <w:ind w:left="640" w:firstLine="0" w:firstLineChars="0"/>
        <w:rPr>
          <w:rFonts w:hint="eastAsia" w:ascii="仿宋" w:hAnsi="仿宋" w:eastAsia="仿宋" w:cs="仿宋"/>
          <w:b/>
          <w:bCs/>
          <w:kern w:val="0"/>
          <w:sz w:val="32"/>
          <w:szCs w:val="32"/>
          <w:lang w:val="en-US" w:eastAsia="zh-CN" w:bidi="ar-SA"/>
        </w:rPr>
      </w:pPr>
      <w:r>
        <w:rPr>
          <w:rFonts w:hint="eastAsia" w:ascii="仿宋" w:hAnsi="仿宋" w:eastAsia="仿宋" w:cs="仿宋"/>
          <w:b/>
          <w:bCs/>
          <w:kern w:val="0"/>
          <w:sz w:val="32"/>
          <w:szCs w:val="32"/>
          <w:lang w:val="en-US" w:eastAsia="zh-CN" w:bidi="ar-SA"/>
        </w:rPr>
        <w:t>项目支出情况</w:t>
      </w:r>
    </w:p>
    <w:p w14:paraId="6270C7E4">
      <w:pPr>
        <w:pStyle w:val="7"/>
        <w:widowControl/>
        <w:numPr>
          <w:ilvl w:val="0"/>
          <w:numId w:val="0"/>
        </w:numPr>
        <w:spacing w:line="600" w:lineRule="exact"/>
        <w:ind w:left="640" w:leftChars="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2023年一般公共预算支出合计966.88万元，其中项目支出206.78万元，占比21.39%；其中基础设施建设支出206.78万元，占项目支出100%。</w:t>
      </w:r>
    </w:p>
    <w:p w14:paraId="6A1B4E7A">
      <w:pPr>
        <w:pStyle w:val="7"/>
        <w:widowControl/>
        <w:numPr>
          <w:ilvl w:val="0"/>
          <w:numId w:val="1"/>
        </w:numPr>
        <w:spacing w:line="600" w:lineRule="exact"/>
        <w:ind w:left="640" w:firstLine="0" w:firstLineChars="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政府性基金预算支出情况</w:t>
      </w:r>
    </w:p>
    <w:p w14:paraId="53B86E13">
      <w:pPr>
        <w:pStyle w:val="7"/>
        <w:widowControl/>
        <w:numPr>
          <w:ilvl w:val="0"/>
          <w:numId w:val="0"/>
        </w:numPr>
        <w:spacing w:line="600" w:lineRule="exact"/>
        <w:ind w:left="640" w:leftChars="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无</w:t>
      </w:r>
    </w:p>
    <w:p w14:paraId="600C65E1">
      <w:pPr>
        <w:pStyle w:val="7"/>
        <w:widowControl/>
        <w:numPr>
          <w:ilvl w:val="0"/>
          <w:numId w:val="1"/>
        </w:numPr>
        <w:spacing w:line="600" w:lineRule="exact"/>
        <w:ind w:left="640" w:leftChars="0" w:firstLine="0" w:firstLineChars="0"/>
        <w:jc w:val="left"/>
        <w:rPr>
          <w:rFonts w:hint="eastAsia" w:ascii="Times New Roman" w:hAnsi="Times New Roman" w:eastAsia="黑体"/>
          <w:sz w:val="32"/>
          <w:szCs w:val="32"/>
        </w:rPr>
      </w:pPr>
      <w:r>
        <w:rPr>
          <w:rFonts w:hint="eastAsia" w:ascii="Times New Roman" w:hAnsi="Times New Roman" w:eastAsia="黑体"/>
          <w:sz w:val="32"/>
          <w:szCs w:val="32"/>
        </w:rPr>
        <w:t>国有资本经营预算支出情况</w:t>
      </w:r>
    </w:p>
    <w:p w14:paraId="5CFD121A">
      <w:pPr>
        <w:pStyle w:val="7"/>
        <w:widowControl/>
        <w:numPr>
          <w:ilvl w:val="0"/>
          <w:numId w:val="0"/>
        </w:numPr>
        <w:spacing w:line="600" w:lineRule="exact"/>
        <w:ind w:left="640" w:leftChars="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无</w:t>
      </w:r>
    </w:p>
    <w:p w14:paraId="7F187F02">
      <w:pPr>
        <w:pStyle w:val="7"/>
        <w:widowControl/>
        <w:numPr>
          <w:ilvl w:val="0"/>
          <w:numId w:val="1"/>
        </w:numPr>
        <w:spacing w:line="600" w:lineRule="exact"/>
        <w:ind w:left="640" w:leftChars="0" w:firstLine="0" w:firstLineChars="0"/>
        <w:jc w:val="left"/>
        <w:rPr>
          <w:rFonts w:hint="eastAsia" w:ascii="Times New Roman" w:hAnsi="Times New Roman" w:eastAsia="黑体"/>
          <w:sz w:val="32"/>
          <w:szCs w:val="32"/>
        </w:rPr>
      </w:pPr>
      <w:r>
        <w:rPr>
          <w:rFonts w:hint="eastAsia" w:ascii="Times New Roman" w:hAnsi="Times New Roman" w:eastAsia="黑体"/>
          <w:sz w:val="32"/>
          <w:szCs w:val="32"/>
        </w:rPr>
        <w:t>社会保险基金预算支出情况</w:t>
      </w:r>
    </w:p>
    <w:p w14:paraId="0D9FD5E2">
      <w:pPr>
        <w:pStyle w:val="7"/>
        <w:widowControl/>
        <w:numPr>
          <w:ilvl w:val="0"/>
          <w:numId w:val="0"/>
        </w:numPr>
        <w:spacing w:line="600" w:lineRule="exact"/>
        <w:ind w:left="640" w:leftChars="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无</w:t>
      </w:r>
    </w:p>
    <w:p w14:paraId="321D3EB3">
      <w:pPr>
        <w:widowControl/>
        <w:numPr>
          <w:ilvl w:val="0"/>
          <w:numId w:val="1"/>
        </w:numPr>
        <w:spacing w:line="600" w:lineRule="exact"/>
        <w:ind w:left="640" w:leftChars="0" w:firstLine="0" w:firstLineChars="0"/>
        <w:jc w:val="left"/>
        <w:rPr>
          <w:rFonts w:hint="eastAsia" w:eastAsia="黑体"/>
          <w:sz w:val="32"/>
          <w:szCs w:val="32"/>
        </w:rPr>
      </w:pPr>
      <w:r>
        <w:rPr>
          <w:rFonts w:hint="eastAsia" w:eastAsia="黑体"/>
          <w:sz w:val="32"/>
          <w:szCs w:val="32"/>
        </w:rPr>
        <w:t>部门整体支出绩效情况</w:t>
      </w:r>
    </w:p>
    <w:p w14:paraId="0E74B1CE">
      <w:pPr>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643" w:firstLineChars="200"/>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（一）投入情况分析</w:t>
      </w:r>
    </w:p>
    <w:p w14:paraId="260220B9">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en-US" w:eastAsia="zh-CN"/>
        </w:rPr>
        <w:t>2023年</w:t>
      </w:r>
      <w:r>
        <w:rPr>
          <w:rFonts w:hint="eastAsia" w:ascii="仿宋" w:hAnsi="仿宋" w:eastAsia="仿宋" w:cs="仿宋"/>
          <w:kern w:val="0"/>
          <w:sz w:val="32"/>
          <w:szCs w:val="32"/>
          <w:lang w:eastAsia="zh-CN"/>
        </w:rPr>
        <w:t>全年</w:t>
      </w:r>
      <w:r>
        <w:rPr>
          <w:rFonts w:hint="eastAsia" w:ascii="仿宋" w:hAnsi="仿宋" w:eastAsia="仿宋" w:cs="仿宋"/>
          <w:kern w:val="0"/>
          <w:sz w:val="32"/>
          <w:szCs w:val="32"/>
        </w:rPr>
        <w:t>预算收入</w:t>
      </w:r>
      <w:r>
        <w:rPr>
          <w:rFonts w:hint="eastAsia" w:ascii="仿宋" w:hAnsi="仿宋" w:eastAsia="仿宋" w:cs="仿宋"/>
          <w:kern w:val="0"/>
          <w:sz w:val="32"/>
          <w:szCs w:val="32"/>
          <w:lang w:val="en-US" w:eastAsia="zh-CN"/>
        </w:rPr>
        <w:t>966.88</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一般公共预算</w:t>
      </w:r>
      <w:r>
        <w:rPr>
          <w:rFonts w:hint="eastAsia" w:ascii="仿宋" w:hAnsi="仿宋" w:eastAsia="仿宋" w:cs="仿宋"/>
          <w:kern w:val="0"/>
          <w:sz w:val="32"/>
          <w:szCs w:val="32"/>
          <w:lang w:val="en-US" w:eastAsia="zh-CN"/>
        </w:rPr>
        <w:t>966.88万元，占比100%；政府性基金拨款0万元；其他收入560.20万元，占比57.94%。全年预算收入</w:t>
      </w:r>
      <w:r>
        <w:rPr>
          <w:rFonts w:hint="eastAsia" w:ascii="仿宋" w:hAnsi="仿宋" w:eastAsia="仿宋" w:cs="仿宋"/>
          <w:kern w:val="0"/>
          <w:sz w:val="32"/>
          <w:szCs w:val="32"/>
        </w:rPr>
        <w:t>较</w:t>
      </w:r>
      <w:r>
        <w:rPr>
          <w:rFonts w:hint="eastAsia" w:ascii="仿宋" w:hAnsi="仿宋" w:eastAsia="仿宋" w:cs="仿宋"/>
          <w:kern w:val="0"/>
          <w:sz w:val="32"/>
          <w:szCs w:val="32"/>
          <w:lang w:eastAsia="zh-CN"/>
        </w:rPr>
        <w:t>上年减少</w:t>
      </w:r>
      <w:r>
        <w:rPr>
          <w:rFonts w:hint="eastAsia" w:ascii="仿宋" w:hAnsi="仿宋" w:eastAsia="仿宋" w:cs="仿宋"/>
          <w:kern w:val="0"/>
          <w:sz w:val="32"/>
          <w:szCs w:val="32"/>
          <w:lang w:val="en-US" w:eastAsia="zh-CN"/>
        </w:rPr>
        <w:t>267.88</w:t>
      </w:r>
      <w:r>
        <w:rPr>
          <w:rFonts w:hint="eastAsia" w:ascii="仿宋" w:hAnsi="仿宋" w:eastAsia="仿宋" w:cs="仿宋"/>
          <w:kern w:val="0"/>
          <w:sz w:val="32"/>
          <w:szCs w:val="32"/>
        </w:rPr>
        <w:t>万元，</w:t>
      </w:r>
      <w:r>
        <w:rPr>
          <w:rFonts w:hint="eastAsia" w:ascii="仿宋" w:hAnsi="仿宋" w:eastAsia="仿宋" w:cs="仿宋"/>
          <w:kern w:val="0"/>
          <w:sz w:val="32"/>
          <w:szCs w:val="32"/>
          <w:lang w:eastAsia="zh-CN"/>
        </w:rPr>
        <w:t>原因在于</w:t>
      </w:r>
      <w:r>
        <w:rPr>
          <w:rFonts w:hint="eastAsia" w:ascii="仿宋" w:hAnsi="仿宋" w:eastAsia="仿宋" w:cs="仿宋"/>
          <w:kern w:val="0"/>
          <w:sz w:val="32"/>
          <w:szCs w:val="32"/>
          <w:lang w:val="en-US" w:eastAsia="zh-CN"/>
        </w:rPr>
        <w:t>项目支出减少。</w:t>
      </w:r>
    </w:p>
    <w:p w14:paraId="41C28C20">
      <w:pPr>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643" w:firstLineChars="200"/>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rPr>
        <w:t>（二）执行管理情况分析</w:t>
      </w:r>
    </w:p>
    <w:p w14:paraId="6AD40977">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zh-CN"/>
        </w:rPr>
        <w:t>我镇及时组织财务人员进行预决算的编制，</w:t>
      </w:r>
      <w:r>
        <w:rPr>
          <w:rFonts w:hint="eastAsia" w:ascii="仿宋" w:hAnsi="仿宋" w:eastAsia="仿宋" w:cs="仿宋"/>
          <w:kern w:val="0"/>
          <w:sz w:val="32"/>
          <w:szCs w:val="32"/>
        </w:rPr>
        <w:t>按时完成202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年预算编制及公开，</w:t>
      </w:r>
      <w:r>
        <w:rPr>
          <w:rFonts w:hint="eastAsia" w:ascii="仿宋" w:hAnsi="仿宋" w:eastAsia="仿宋" w:cs="仿宋"/>
          <w:kern w:val="0"/>
          <w:sz w:val="32"/>
          <w:szCs w:val="32"/>
          <w:lang w:val="zh-CN"/>
        </w:rPr>
        <w:t>对本年度相应用款进行及时清理和处理，做到账账相符、账实相符、账证相符，按先有预算再支出的原则，及时处理相关事务；对年度绩效目标进行季度梳理和年度分析，及时上报相关报表；对专项预算提前细化，分科目上报，做到收支平衡。</w:t>
      </w:r>
    </w:p>
    <w:p w14:paraId="71B7B15D">
      <w:pPr>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（三）支出绩效情况分析</w:t>
      </w:r>
    </w:p>
    <w:p w14:paraId="67C42EF3">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年决算支出为</w:t>
      </w:r>
      <w:r>
        <w:rPr>
          <w:rFonts w:hint="eastAsia" w:ascii="仿宋" w:hAnsi="仿宋" w:eastAsia="仿宋" w:cs="仿宋"/>
          <w:kern w:val="0"/>
          <w:sz w:val="32"/>
          <w:szCs w:val="32"/>
          <w:lang w:val="en-US" w:eastAsia="zh-CN"/>
        </w:rPr>
        <w:t>966.88</w:t>
      </w:r>
      <w:r>
        <w:rPr>
          <w:rFonts w:hint="eastAsia" w:ascii="仿宋" w:hAnsi="仿宋" w:eastAsia="仿宋" w:cs="仿宋"/>
          <w:kern w:val="0"/>
          <w:sz w:val="32"/>
          <w:szCs w:val="32"/>
        </w:rPr>
        <w:t>万元，执行率为100%。202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年决算数较202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年有所</w:t>
      </w:r>
      <w:r>
        <w:rPr>
          <w:rFonts w:hint="eastAsia" w:ascii="仿宋" w:hAnsi="仿宋" w:eastAsia="仿宋" w:cs="仿宋"/>
          <w:kern w:val="0"/>
          <w:sz w:val="32"/>
          <w:szCs w:val="32"/>
          <w:lang w:eastAsia="zh-CN"/>
        </w:rPr>
        <w:t>下降</w:t>
      </w:r>
      <w:r>
        <w:rPr>
          <w:rFonts w:hint="eastAsia" w:ascii="仿宋" w:hAnsi="仿宋" w:eastAsia="仿宋" w:cs="仿宋"/>
          <w:kern w:val="0"/>
          <w:sz w:val="32"/>
          <w:szCs w:val="32"/>
        </w:rPr>
        <w:t>，主要在</w:t>
      </w:r>
      <w:r>
        <w:rPr>
          <w:rFonts w:hint="eastAsia" w:ascii="仿宋" w:hAnsi="仿宋" w:eastAsia="仿宋" w:cs="仿宋"/>
          <w:kern w:val="0"/>
          <w:sz w:val="32"/>
          <w:szCs w:val="32"/>
          <w:lang w:val="en-US" w:eastAsia="zh-CN"/>
        </w:rPr>
        <w:t>公用经费</w:t>
      </w:r>
      <w:r>
        <w:rPr>
          <w:rFonts w:hint="eastAsia" w:ascii="仿宋" w:hAnsi="仿宋" w:eastAsia="仿宋" w:cs="仿宋"/>
          <w:kern w:val="0"/>
          <w:sz w:val="32"/>
          <w:szCs w:val="32"/>
        </w:rPr>
        <w:t>及</w:t>
      </w:r>
      <w:r>
        <w:rPr>
          <w:rFonts w:hint="eastAsia" w:ascii="仿宋" w:hAnsi="仿宋" w:eastAsia="仿宋" w:cs="仿宋"/>
          <w:kern w:val="0"/>
          <w:sz w:val="32"/>
          <w:szCs w:val="32"/>
          <w:lang w:val="en-US" w:eastAsia="zh-CN"/>
        </w:rPr>
        <w:t>项目类支出</w:t>
      </w:r>
      <w:r>
        <w:rPr>
          <w:rFonts w:hint="eastAsia" w:ascii="仿宋" w:hAnsi="仿宋" w:eastAsia="仿宋" w:cs="仿宋"/>
          <w:kern w:val="0"/>
          <w:sz w:val="32"/>
          <w:szCs w:val="32"/>
        </w:rPr>
        <w:t>有所</w:t>
      </w:r>
      <w:r>
        <w:rPr>
          <w:rFonts w:hint="eastAsia" w:ascii="仿宋" w:hAnsi="仿宋" w:eastAsia="仿宋" w:cs="仿宋"/>
          <w:kern w:val="0"/>
          <w:sz w:val="32"/>
          <w:szCs w:val="32"/>
          <w:lang w:eastAsia="zh-CN"/>
        </w:rPr>
        <w:t>减少</w:t>
      </w:r>
      <w:r>
        <w:rPr>
          <w:rFonts w:hint="eastAsia" w:ascii="仿宋" w:hAnsi="仿宋" w:eastAsia="仿宋" w:cs="仿宋"/>
          <w:kern w:val="0"/>
          <w:sz w:val="32"/>
          <w:szCs w:val="32"/>
        </w:rPr>
        <w:t>，人员的变动</w:t>
      </w:r>
      <w:r>
        <w:rPr>
          <w:rFonts w:hint="eastAsia" w:ascii="仿宋" w:hAnsi="仿宋" w:eastAsia="仿宋" w:cs="仿宋"/>
          <w:kern w:val="0"/>
          <w:sz w:val="32"/>
          <w:szCs w:val="32"/>
          <w:lang w:val="en-US" w:eastAsia="zh-CN"/>
        </w:rPr>
        <w:t>调整也</w:t>
      </w:r>
      <w:r>
        <w:rPr>
          <w:rFonts w:hint="eastAsia" w:ascii="仿宋" w:hAnsi="仿宋" w:eastAsia="仿宋" w:cs="仿宋"/>
          <w:kern w:val="0"/>
          <w:sz w:val="32"/>
          <w:szCs w:val="32"/>
        </w:rPr>
        <w:t>导致人员工资类经费有所</w:t>
      </w:r>
      <w:r>
        <w:rPr>
          <w:rFonts w:hint="eastAsia" w:ascii="仿宋" w:hAnsi="仿宋" w:eastAsia="仿宋" w:cs="仿宋"/>
          <w:kern w:val="0"/>
          <w:sz w:val="32"/>
          <w:szCs w:val="32"/>
          <w:lang w:eastAsia="zh-CN"/>
        </w:rPr>
        <w:t>减少</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2023年人居环境、乡村振兴、农村基础设施建设、防火防汛等工作都圆满完成，群众满意度较高。</w:t>
      </w:r>
    </w:p>
    <w:p w14:paraId="6C27B1DA">
      <w:pPr>
        <w:keepNext w:val="0"/>
        <w:keepLines w:val="0"/>
        <w:pageBreakBefore w:val="0"/>
        <w:widowControl w:val="0"/>
        <w:numPr>
          <w:ilvl w:val="0"/>
          <w:numId w:val="2"/>
        </w:numPr>
        <w:kinsoku/>
        <w:wordWrap/>
        <w:overflowPunct/>
        <w:topLinePunct w:val="0"/>
        <w:autoSpaceDE/>
        <w:autoSpaceDN/>
        <w:bidi w:val="0"/>
        <w:adjustRightInd w:val="0"/>
        <w:snapToGrid w:val="0"/>
        <w:spacing w:after="157" w:afterLines="50" w:line="360" w:lineRule="auto"/>
        <w:ind w:left="640" w:leftChars="0" w:firstLine="0" w:firstLineChars="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资产管理情况</w:t>
      </w:r>
    </w:p>
    <w:p w14:paraId="4FDE10D1">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镇严格按照《资产管理制度》，明确了资产配置、资产采购、资产使用、资产调配、资产报废等各环节的流程及审批权限，并严格按照制度执行，以确保固定资产配置合理、采购合规、使用高效、管理规范。一是指定由专人负责资产管理工作；二是共享共用，盘活存量资产。对打印机、传真机等均做到了共享共用；对于已达报废年限、尚可使用的资产，坚持能用则用的原则，最大程度发挥资产使用效益；三是合理配置、采购有序。我镇严格按照财政资产配置相关标准并结合单位资产使用情况，申报采购。</w:t>
      </w:r>
    </w:p>
    <w:p w14:paraId="506F3F9F">
      <w:pPr>
        <w:pStyle w:val="7"/>
        <w:widowControl/>
        <w:spacing w:line="600" w:lineRule="exact"/>
        <w:jc w:val="left"/>
        <w:rPr>
          <w:rFonts w:ascii="Times New Roman" w:hAnsi="Times New Roman" w:eastAsia="黑体"/>
          <w:sz w:val="32"/>
          <w:szCs w:val="32"/>
        </w:rPr>
      </w:pPr>
      <w:r>
        <w:rPr>
          <w:rFonts w:hint="eastAsia" w:ascii="Times New Roman" w:hAnsi="Times New Roman" w:eastAsia="黑体"/>
          <w:sz w:val="32"/>
          <w:szCs w:val="32"/>
        </w:rPr>
        <w:t>七、存在的问题及原因分析</w:t>
      </w:r>
    </w:p>
    <w:p w14:paraId="561BE309">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1.</w:t>
      </w:r>
      <w:r>
        <w:rPr>
          <w:rFonts w:hint="eastAsia" w:ascii="仿宋" w:hAnsi="仿宋" w:eastAsia="仿宋" w:cs="仿宋"/>
          <w:kern w:val="0"/>
          <w:sz w:val="32"/>
          <w:szCs w:val="32"/>
          <w:lang w:eastAsia="zh-CN"/>
        </w:rPr>
        <w:t>部门绩效目标设置不够完备。</w:t>
      </w:r>
    </w:p>
    <w:p w14:paraId="4DCA8DBB">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2.</w:t>
      </w:r>
      <w:r>
        <w:rPr>
          <w:rFonts w:hint="eastAsia" w:ascii="仿宋" w:hAnsi="仿宋" w:eastAsia="仿宋" w:cs="仿宋"/>
          <w:kern w:val="0"/>
          <w:sz w:val="32"/>
          <w:szCs w:val="32"/>
          <w:lang w:eastAsia="zh-CN"/>
        </w:rPr>
        <w:t>预算编制不够扎实。在预算执行过程中调整变动较大，客观存在实际支出与年初预算发生偏差。</w:t>
      </w:r>
    </w:p>
    <w:p w14:paraId="579DA1C0">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3、部分款项支付不及时。</w:t>
      </w:r>
    </w:p>
    <w:p w14:paraId="59D05468">
      <w:pPr>
        <w:widowControl/>
        <w:spacing w:line="600" w:lineRule="exact"/>
        <w:ind w:firstLine="640" w:firstLineChars="200"/>
        <w:jc w:val="left"/>
        <w:rPr>
          <w:rFonts w:hint="eastAsia" w:eastAsia="黑体"/>
          <w:sz w:val="32"/>
          <w:szCs w:val="32"/>
        </w:rPr>
      </w:pPr>
      <w:r>
        <w:rPr>
          <w:rFonts w:hint="eastAsia" w:eastAsia="黑体"/>
          <w:sz w:val="32"/>
          <w:szCs w:val="32"/>
        </w:rPr>
        <w:t>八、下一步改进措施</w:t>
      </w:r>
    </w:p>
    <w:p w14:paraId="3502CEFE">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1.</w:t>
      </w:r>
      <w:r>
        <w:rPr>
          <w:rFonts w:hint="eastAsia" w:ascii="仿宋" w:hAnsi="仿宋" w:eastAsia="仿宋" w:cs="仿宋"/>
          <w:kern w:val="0"/>
          <w:sz w:val="32"/>
          <w:szCs w:val="32"/>
          <w:lang w:eastAsia="zh-CN"/>
        </w:rPr>
        <w:t>进一步规范绩效目标编制。在编制绩效目标时，要求指向明确，细化量化、合理可行。</w:t>
      </w:r>
      <w:r>
        <w:rPr>
          <w:rFonts w:hint="eastAsia" w:ascii="仿宋" w:hAnsi="仿宋" w:eastAsia="仿宋" w:cs="仿宋"/>
          <w:kern w:val="0"/>
          <w:sz w:val="32"/>
          <w:szCs w:val="32"/>
        </w:rPr>
        <w:t>进一步加强单位内部机构各</w:t>
      </w:r>
      <w:r>
        <w:rPr>
          <w:rFonts w:hint="eastAsia" w:ascii="仿宋" w:hAnsi="仿宋" w:eastAsia="仿宋" w:cs="仿宋"/>
          <w:kern w:val="0"/>
          <w:sz w:val="32"/>
          <w:szCs w:val="32"/>
          <w:lang w:eastAsia="zh-CN"/>
        </w:rPr>
        <w:t>部门</w:t>
      </w:r>
      <w:r>
        <w:rPr>
          <w:rFonts w:hint="eastAsia" w:ascii="仿宋" w:hAnsi="仿宋" w:eastAsia="仿宋" w:cs="仿宋"/>
          <w:kern w:val="0"/>
          <w:sz w:val="32"/>
          <w:szCs w:val="32"/>
        </w:rPr>
        <w:t>的预算管理意识，严格按照预算编制的相关制度和要求进行预算编制</w:t>
      </w:r>
      <w:r>
        <w:rPr>
          <w:rFonts w:hint="eastAsia" w:ascii="仿宋" w:hAnsi="仿宋" w:eastAsia="仿宋" w:cs="仿宋"/>
          <w:kern w:val="0"/>
          <w:sz w:val="32"/>
          <w:szCs w:val="32"/>
          <w:lang w:eastAsia="zh-CN"/>
        </w:rPr>
        <w:t>。</w:t>
      </w:r>
    </w:p>
    <w:p w14:paraId="4FD1207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2.加快预算执行力度，强化预算约束。增强预算的刚性约束，严格做到“无预算不支出”，强化预算对执行的控制。</w:t>
      </w:r>
    </w:p>
    <w:p w14:paraId="3D57EE8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eastAsia="黑体"/>
          <w:sz w:val="32"/>
          <w:szCs w:val="32"/>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加强财务管理，严格财务审核。加强单位财务管理，健全单位财务管理制度体系，规范单位财务行为。在费用报账支付时，按照预算规定的费用项目和用途进行资金使用审核、列报支付、财务核算，杜绝超支现象的发生。</w:t>
      </w:r>
    </w:p>
    <w:p w14:paraId="3272CA9D">
      <w:pPr>
        <w:keepNext w:val="0"/>
        <w:keepLines w:val="0"/>
        <w:pageBreakBefore w:val="0"/>
        <w:widowControl/>
        <w:kinsoku/>
        <w:wordWrap/>
        <w:overflowPunct/>
        <w:topLinePunct w:val="0"/>
        <w:autoSpaceDE/>
        <w:autoSpaceDN/>
        <w:bidi w:val="0"/>
        <w:spacing w:line="360" w:lineRule="auto"/>
        <w:ind w:firstLine="645"/>
        <w:jc w:val="left"/>
        <w:textAlignment w:val="auto"/>
        <w:rPr>
          <w:rFonts w:hint="eastAsia" w:eastAsia="黑体"/>
          <w:sz w:val="32"/>
          <w:szCs w:val="32"/>
        </w:rPr>
      </w:pPr>
      <w:r>
        <w:rPr>
          <w:rFonts w:hint="eastAsia" w:eastAsia="黑体"/>
          <w:sz w:val="32"/>
          <w:szCs w:val="32"/>
        </w:rPr>
        <w:t>九、部门整体支出绩效自评结果拟应用和公开情况</w:t>
      </w:r>
    </w:p>
    <w:p w14:paraId="608D6A4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镇将于公开2023年决算修溪镇人民政府决算报告时同步在修溪镇门户网站上全文公开部门整体支出绩效自评报告，接受社会公众监督。通过开展绩效自评工作，一方面提高我镇工作人员的绩效管理意识，对自评过程中发现的问题及时督促各部门加以整改，巩固绩效成果；另一方面充分发挥绩效评价体系作用，做到绩效有目标，过程有监督，绩效有评价，评价有反馈，反馈有应用。</w:t>
      </w:r>
    </w:p>
    <w:p w14:paraId="3A4E9D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left"/>
        <w:textAlignment w:val="auto"/>
        <w:rPr>
          <w:rFonts w:eastAsia="黑体"/>
          <w:sz w:val="32"/>
          <w:szCs w:val="32"/>
        </w:rPr>
      </w:pPr>
      <w:r>
        <w:rPr>
          <w:rFonts w:hint="eastAsia" w:eastAsia="黑体"/>
          <w:sz w:val="32"/>
          <w:szCs w:val="32"/>
        </w:rPr>
        <w:t>十、其他需要说明的情况</w:t>
      </w:r>
    </w:p>
    <w:p w14:paraId="5309CFC6">
      <w:pPr>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640" w:firstLineChars="200"/>
        <w:textAlignment w:val="auto"/>
        <w:rPr>
          <w:rFonts w:hint="eastAsia"/>
          <w:sz w:val="32"/>
          <w:szCs w:val="32"/>
          <w:lang w:eastAsia="zh-CN"/>
        </w:rPr>
      </w:pPr>
      <w:r>
        <w:rPr>
          <w:rFonts w:hint="eastAsia"/>
          <w:sz w:val="32"/>
          <w:szCs w:val="32"/>
          <w:lang w:eastAsia="zh-CN"/>
        </w:rPr>
        <w:t>无</w:t>
      </w:r>
    </w:p>
    <w:p w14:paraId="1B3A700F">
      <w:pPr>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640" w:firstLineChars="200"/>
        <w:textAlignment w:val="auto"/>
        <w:rPr>
          <w:rFonts w:hint="eastAsia"/>
          <w:sz w:val="32"/>
          <w:szCs w:val="32"/>
          <w:lang w:eastAsia="zh-CN"/>
        </w:rPr>
      </w:pPr>
    </w:p>
    <w:p w14:paraId="77545024">
      <w:pPr>
        <w:keepNext w:val="0"/>
        <w:keepLines w:val="0"/>
        <w:pageBreakBefore w:val="0"/>
        <w:widowControl w:val="0"/>
        <w:kinsoku/>
        <w:wordWrap/>
        <w:overflowPunct/>
        <w:topLinePunct w:val="0"/>
        <w:autoSpaceDE/>
        <w:autoSpaceDN/>
        <w:bidi w:val="0"/>
        <w:adjustRightInd w:val="0"/>
        <w:snapToGrid w:val="0"/>
        <w:spacing w:after="157" w:afterLines="50" w:line="360" w:lineRule="auto"/>
        <w:ind w:firstLine="640" w:firstLineChars="200"/>
        <w:jc w:val="right"/>
        <w:textAlignment w:val="auto"/>
        <w:rPr>
          <w:rFonts w:hint="eastAsia"/>
          <w:sz w:val="32"/>
          <w:szCs w:val="32"/>
          <w:lang w:eastAsia="zh-CN"/>
        </w:rPr>
      </w:pPr>
      <w:r>
        <w:rPr>
          <w:rFonts w:hint="eastAsia"/>
          <w:sz w:val="32"/>
          <w:szCs w:val="32"/>
          <w:lang w:eastAsia="zh-CN"/>
        </w:rPr>
        <w:t>辰溪县修溪镇人民政府</w:t>
      </w:r>
    </w:p>
    <w:p w14:paraId="58726A43">
      <w:pPr>
        <w:jc w:val="right"/>
      </w:pPr>
      <w:r>
        <w:rPr>
          <w:rFonts w:hint="eastAsia"/>
          <w:sz w:val="32"/>
          <w:szCs w:val="32"/>
          <w:lang w:val="en-US" w:eastAsia="zh-CN"/>
        </w:rPr>
        <w:t>2024年4月8日</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0DD6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AD1B80">
                          <w:pPr>
                            <w:pStyle w:val="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AD1B80">
                    <w:pPr>
                      <w:pStyle w:val="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E6F71"/>
    <w:multiLevelType w:val="singleLevel"/>
    <w:tmpl w:val="2D2E6F71"/>
    <w:lvl w:ilvl="0" w:tentative="0">
      <w:start w:val="1"/>
      <w:numFmt w:val="chineseCounting"/>
      <w:suff w:val="nothing"/>
      <w:lvlText w:val="（%1）"/>
      <w:lvlJc w:val="left"/>
      <w:rPr>
        <w:rFonts w:hint="eastAsia"/>
      </w:rPr>
    </w:lvl>
  </w:abstractNum>
  <w:abstractNum w:abstractNumId="1">
    <w:nsid w:val="4F4D681B"/>
    <w:multiLevelType w:val="singleLevel"/>
    <w:tmpl w:val="4F4D681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mMWZlMjJjOTJkODkwMWFlMzA4ZTA0ZmVhN2VlMGYifQ=="/>
  </w:docVars>
  <w:rsids>
    <w:rsidRoot w:val="60C3646B"/>
    <w:rsid w:val="42621013"/>
    <w:rsid w:val="43452D76"/>
    <w:rsid w:val="555B292C"/>
    <w:rsid w:val="589C176E"/>
    <w:rsid w:val="5EEEB931"/>
    <w:rsid w:val="60C3646B"/>
    <w:rsid w:val="B7FECFE3"/>
    <w:rsid w:val="BFDB528F"/>
    <w:rsid w:val="DFFE42DF"/>
    <w:rsid w:val="F5B3EFD0"/>
    <w:rsid w:val="FBF49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eastAsia="宋体"/>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99"/>
    <w:pPr>
      <w:spacing w:line="365" w:lineRule="atLeast"/>
      <w:ind w:left="1" w:firstLine="420" w:firstLineChars="200"/>
      <w:textAlignment w:val="bottom"/>
    </w:pPr>
    <w:rPr>
      <w:rFonts w:ascii="Calibri" w:hAnsi="Calibri" w:eastAsia="宋体"/>
      <w:kern w:val="0"/>
      <w:sz w:val="20"/>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1251</Words>
  <Characters>1362</Characters>
  <Lines>0</Lines>
  <Paragraphs>0</Paragraphs>
  <TotalTime>6</TotalTime>
  <ScaleCrop>false</ScaleCrop>
  <LinksUpToDate>false</LinksUpToDate>
  <CharactersWithSpaces>1368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2024-04-07T21:12:00Z</dcterms:created>
  <dc:creator>WPS_1702276374</dc:creator>
  <cp:lastModifiedBy>86135</cp:lastModifiedBy>
  <cp:lastPrinted>2024-04-09T15:47:00Z</cp:lastPrinted>
  <dcterms:modified xsi:type="dcterms:W3CDTF">2024-11-05T01:19:40Z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96C0045C6B8F4DD6BC5EAA7F88FD83C6_13</vt:lpwstr>
  </property>
</Properties>
</file>