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32"/>
          <w:szCs w:val="32"/>
        </w:rPr>
      </w:pPr>
      <w:r>
        <w:rPr>
          <w:rFonts w:hint="eastAsia" w:eastAsia="方正小标宋_GBK"/>
          <w:sz w:val="36"/>
          <w:szCs w:val="36"/>
        </w:rPr>
        <w:t>辰溪县锦滨镇人民政府202</w:t>
      </w:r>
      <w:r>
        <w:rPr>
          <w:rFonts w:hint="eastAsia" w:eastAsia="方正小标宋_GBK"/>
          <w:sz w:val="36"/>
          <w:szCs w:val="36"/>
          <w:lang w:val="en-US" w:eastAsia="zh-CN"/>
        </w:rPr>
        <w:t>1</w:t>
      </w:r>
      <w:r>
        <w:rPr>
          <w:rFonts w:hint="eastAsia" w:eastAsia="方正小标宋_GBK"/>
          <w:sz w:val="36"/>
          <w:szCs w:val="36"/>
        </w:rPr>
        <w:t>年度部门整体支出绩效评价报告</w:t>
      </w:r>
    </w:p>
    <w:p>
      <w:pPr>
        <w:pStyle w:val="9"/>
        <w:widowControl/>
        <w:numPr>
          <w:ilvl w:val="0"/>
          <w:numId w:val="1"/>
        </w:numPr>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部门、单位基本情况</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辰溪县锦滨镇人民政府作为一级部门预算单位，内设科室为：党政办公室、党建办公室、经济发展办公室、社会事务办公室、社会治安和应急管理办公室、自然资源和生态环境办公室、社会事务综合服务中心、农业综合服务中心、便民服务中心、综合行政执法大队等部门</w:t>
      </w:r>
      <w:r>
        <w:rPr>
          <w:rFonts w:hint="eastAsia" w:ascii="Times New Roman" w:hAnsi="Times New Roman" w:eastAsia="仿宋_GB2312" w:cs="Times New Roman"/>
          <w:color w:val="auto"/>
          <w:kern w:val="2"/>
          <w:sz w:val="32"/>
          <w:szCs w:val="32"/>
        </w:rPr>
        <w:t>。</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党政办公室：负责协助镇领导处理日常党务和行政管理工作；协助抓好纪检、监察、群团工作和精神文明建设；做好文秘、接待、后勤、信息、统计、档案、调研、督查工作；负责政策性文件、具体行政行为的审核和上报备案以及行政执法证件的使用管理，承办以镇政府为被告或被申请人的行政诉讼、行政赔偿和行政复议案件，具体承担依法行政、政务公开和行政执法监督的各项工作；联系联络人大、政协工作，承办镇党委、政府和上级主管部门交办的其他事项。</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财政所：负责编制和执行镇政府财政预决算工作，管理预算内外资金、编制财政预算草案；负责管理和监督本镇所属行政事业单位的财务活动；负责财政收支管理，镇财政性资金债权管理；负责政府性项目及大额固定资金等方面的内审工作；负责党委会等会议决定事项的督办工作。</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经济发展办公室：贯彻国家对农业的方针、政策和法规，对农业产业结构调整，农业资源配置和产品品质改善实施服务；负责全镇农村经济发展规划和重要项目申报工作，指导全镇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w:t>
      </w:r>
      <w:r>
        <w:rPr>
          <w:rFonts w:hint="eastAsia" w:ascii="Times New Roman" w:hAnsi="Times New Roman" w:eastAsia="仿宋_GB2312" w:cs="Times New Roman"/>
          <w:color w:val="auto"/>
          <w:kern w:val="2"/>
          <w:sz w:val="32"/>
          <w:szCs w:val="32"/>
        </w:rPr>
        <w:t>。</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6、社会治安和应急管理办公室：负责贯彻执行上级有关基层社会治安综合治理和应急管理工作的方针、政策和法律法规；健全镇、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w:t>
      </w:r>
      <w:r>
        <w:rPr>
          <w:rFonts w:hint="eastAsia" w:ascii="Times New Roman" w:hAnsi="Times New Roman" w:eastAsia="仿宋_GB2312" w:cs="Times New Roman"/>
          <w:color w:val="auto"/>
          <w:kern w:val="2"/>
          <w:sz w:val="32"/>
          <w:szCs w:val="32"/>
        </w:rPr>
        <w:t>。</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镇党委、政府和上级主管部门交办的其他事项。</w:t>
      </w:r>
    </w:p>
    <w:p>
      <w:pPr>
        <w:pStyle w:val="10"/>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8、综合行政执法大队：按照有关法律规定相对集中行使行政处罚权，以镇名义开展执法工作，并接受有关县级主管部门的业务指导和监督，逐步实现一支队伍管执法；承办镇党委、政府和上级主管部门交办的其他事项。</w:t>
      </w:r>
    </w:p>
    <w:p>
      <w:pPr>
        <w:pStyle w:val="9"/>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二、一般公共预算支出情况</w:t>
      </w:r>
      <w:bookmarkStart w:id="0" w:name="_GoBack"/>
      <w:bookmarkEnd w:id="0"/>
    </w:p>
    <w:p>
      <w:pPr>
        <w:pStyle w:val="9"/>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（一）基本支出情况</w:t>
      </w:r>
    </w:p>
    <w:p>
      <w:pPr>
        <w:pStyle w:val="10"/>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202</w:t>
      </w: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rPr>
        <w:t>年度财政拨款基本支出</w:t>
      </w:r>
      <w:r>
        <w:rPr>
          <w:rFonts w:hint="eastAsia" w:ascii="Times New Roman" w:hAnsi="Times New Roman" w:eastAsia="仿宋_GB2312" w:cs="Times New Roman"/>
          <w:color w:val="auto"/>
          <w:kern w:val="2"/>
          <w:sz w:val="32"/>
          <w:szCs w:val="32"/>
          <w:lang w:val="en-US" w:eastAsia="zh-CN"/>
        </w:rPr>
        <w:t>1547.83</w:t>
      </w:r>
      <w:r>
        <w:rPr>
          <w:rFonts w:hint="eastAsia" w:ascii="Times New Roman" w:hAnsi="Times New Roman" w:eastAsia="仿宋_GB2312" w:cs="Times New Roman"/>
          <w:color w:val="auto"/>
          <w:kern w:val="2"/>
          <w:sz w:val="32"/>
          <w:szCs w:val="32"/>
        </w:rPr>
        <w:t>万元，其中：人员经费</w:t>
      </w:r>
      <w:r>
        <w:rPr>
          <w:rFonts w:hint="eastAsia" w:ascii="Times New Roman" w:hAnsi="Times New Roman" w:eastAsia="仿宋_GB2312" w:cs="Times New Roman"/>
          <w:color w:val="auto"/>
          <w:kern w:val="2"/>
          <w:sz w:val="32"/>
          <w:szCs w:val="32"/>
          <w:lang w:val="en-US" w:eastAsia="zh-CN"/>
        </w:rPr>
        <w:t>1295.89</w:t>
      </w:r>
      <w:r>
        <w:rPr>
          <w:rFonts w:hint="eastAsia" w:ascii="Times New Roman" w:hAnsi="Times New Roman" w:eastAsia="仿宋_GB2312" w:cs="Times New Roman"/>
          <w:color w:val="auto"/>
          <w:kern w:val="2"/>
          <w:sz w:val="32"/>
          <w:szCs w:val="32"/>
        </w:rPr>
        <w:t>万元，占基本支出的</w:t>
      </w:r>
      <w:r>
        <w:rPr>
          <w:rFonts w:hint="eastAsia" w:ascii="Times New Roman" w:hAnsi="Times New Roman" w:eastAsia="仿宋_GB2312" w:cs="Times New Roman"/>
          <w:color w:val="auto"/>
          <w:kern w:val="2"/>
          <w:sz w:val="32"/>
          <w:szCs w:val="32"/>
          <w:lang w:val="en-US" w:eastAsia="zh-CN"/>
        </w:rPr>
        <w:t>83.72</w:t>
      </w:r>
      <w:r>
        <w:rPr>
          <w:rFonts w:hint="eastAsia" w:ascii="Times New Roman" w:hAnsi="Times New Roman" w:eastAsia="仿宋_GB2312" w:cs="Times New Roman"/>
          <w:color w:val="auto"/>
          <w:kern w:val="2"/>
          <w:sz w:val="32"/>
          <w:szCs w:val="32"/>
        </w:rPr>
        <w:t>%,主要包括基本工资</w:t>
      </w:r>
      <w:r>
        <w:rPr>
          <w:rFonts w:hint="eastAsia" w:ascii="Times New Roman" w:hAnsi="Times New Roman" w:eastAsia="仿宋_GB2312" w:cs="Times New Roman"/>
          <w:color w:val="auto"/>
          <w:kern w:val="2"/>
          <w:sz w:val="32"/>
          <w:szCs w:val="32"/>
          <w:lang w:val="en-US" w:eastAsia="zh-CN"/>
        </w:rPr>
        <w:t>404.9万元</w:t>
      </w:r>
      <w:r>
        <w:rPr>
          <w:rFonts w:hint="eastAsia" w:ascii="Times New Roman" w:hAnsi="Times New Roman" w:eastAsia="仿宋_GB2312" w:cs="Times New Roman"/>
          <w:color w:val="auto"/>
          <w:kern w:val="2"/>
          <w:sz w:val="32"/>
          <w:szCs w:val="32"/>
        </w:rPr>
        <w:t>、津贴补贴</w:t>
      </w:r>
      <w:r>
        <w:rPr>
          <w:rFonts w:hint="eastAsia" w:ascii="Times New Roman" w:hAnsi="Times New Roman" w:eastAsia="仿宋_GB2312" w:cs="Times New Roman"/>
          <w:color w:val="auto"/>
          <w:kern w:val="2"/>
          <w:sz w:val="32"/>
          <w:szCs w:val="32"/>
          <w:lang w:val="en-US" w:eastAsia="zh-CN"/>
        </w:rPr>
        <w:t>111.31万元</w:t>
      </w:r>
      <w:r>
        <w:rPr>
          <w:rFonts w:hint="eastAsia" w:ascii="Times New Roman" w:hAnsi="Times New Roman" w:eastAsia="仿宋_GB2312" w:cs="Times New Roman"/>
          <w:color w:val="auto"/>
          <w:kern w:val="2"/>
          <w:sz w:val="32"/>
          <w:szCs w:val="32"/>
        </w:rPr>
        <w:t>、奖金</w:t>
      </w:r>
      <w:r>
        <w:rPr>
          <w:rFonts w:hint="eastAsia" w:ascii="Times New Roman" w:hAnsi="Times New Roman" w:eastAsia="仿宋_GB2312" w:cs="Times New Roman"/>
          <w:color w:val="auto"/>
          <w:kern w:val="2"/>
          <w:sz w:val="32"/>
          <w:szCs w:val="32"/>
          <w:lang w:val="en-US" w:eastAsia="zh-CN"/>
        </w:rPr>
        <w:t>139.79万元</w:t>
      </w:r>
      <w:r>
        <w:rPr>
          <w:rFonts w:hint="eastAsia" w:ascii="Times New Roman" w:hAnsi="Times New Roman" w:eastAsia="仿宋_GB2312" w:cs="Times New Roman"/>
          <w:color w:val="auto"/>
          <w:kern w:val="2"/>
          <w:sz w:val="32"/>
          <w:szCs w:val="32"/>
        </w:rPr>
        <w:t>、伙食补助费</w:t>
      </w:r>
      <w:r>
        <w:rPr>
          <w:rFonts w:hint="eastAsia" w:ascii="Times New Roman" w:hAnsi="Times New Roman" w:eastAsia="仿宋_GB2312" w:cs="Times New Roman"/>
          <w:color w:val="auto"/>
          <w:kern w:val="2"/>
          <w:sz w:val="32"/>
          <w:szCs w:val="32"/>
          <w:lang w:val="en-US" w:eastAsia="zh-CN"/>
        </w:rPr>
        <w:t>7.55万元、绩效工资59.31万元、机关事业单位基本养老保险缴费170.52万元、职业年金缴费30.85万元、职工基本医疗补助缴费82.95万元、其他社会保障缴费22.33万元、其他工资福利支出110.89万元、抚恤金5.37万元、生活补助27.78万元、医疗费补助2.21万元、奖励金6.19万元、个人农业生产补贴88.08万元、其他对个人和家庭的补助25.89万元</w:t>
      </w:r>
      <w:r>
        <w:rPr>
          <w:rFonts w:hint="eastAsia" w:ascii="Times New Roman" w:hAnsi="Times New Roman" w:eastAsia="仿宋_GB2312" w:cs="Times New Roman"/>
          <w:color w:val="auto"/>
          <w:kern w:val="2"/>
          <w:sz w:val="32"/>
          <w:szCs w:val="32"/>
        </w:rPr>
        <w:t>；公用经费</w:t>
      </w:r>
      <w:r>
        <w:rPr>
          <w:rFonts w:hint="eastAsia" w:ascii="Times New Roman" w:hAnsi="Times New Roman" w:eastAsia="仿宋_GB2312" w:cs="Times New Roman"/>
          <w:color w:val="auto"/>
          <w:kern w:val="2"/>
          <w:sz w:val="32"/>
          <w:szCs w:val="32"/>
          <w:lang w:val="en-US" w:eastAsia="zh-CN"/>
        </w:rPr>
        <w:t>251.94</w:t>
      </w:r>
      <w:r>
        <w:rPr>
          <w:rFonts w:hint="eastAsia" w:ascii="Times New Roman" w:hAnsi="Times New Roman" w:eastAsia="仿宋_GB2312" w:cs="Times New Roman"/>
          <w:color w:val="auto"/>
          <w:kern w:val="2"/>
          <w:sz w:val="32"/>
          <w:szCs w:val="32"/>
        </w:rPr>
        <w:t>元，占基本支出的</w:t>
      </w:r>
      <w:r>
        <w:rPr>
          <w:rFonts w:hint="eastAsia" w:ascii="Times New Roman" w:hAnsi="Times New Roman" w:eastAsia="仿宋_GB2312" w:cs="Times New Roman"/>
          <w:color w:val="auto"/>
          <w:kern w:val="2"/>
          <w:sz w:val="32"/>
          <w:szCs w:val="32"/>
          <w:lang w:val="en-US" w:eastAsia="zh-CN"/>
        </w:rPr>
        <w:t>16.28</w:t>
      </w:r>
      <w:r>
        <w:rPr>
          <w:rFonts w:hint="eastAsia" w:ascii="Times New Roman" w:hAnsi="Times New Roman" w:eastAsia="仿宋_GB2312" w:cs="Times New Roman"/>
          <w:color w:val="auto"/>
          <w:kern w:val="2"/>
          <w:sz w:val="32"/>
          <w:szCs w:val="32"/>
        </w:rPr>
        <w:t>%，主要包括办公费</w:t>
      </w:r>
      <w:r>
        <w:rPr>
          <w:rFonts w:hint="eastAsia" w:ascii="Times New Roman" w:hAnsi="Times New Roman" w:eastAsia="仿宋_GB2312" w:cs="Times New Roman"/>
          <w:color w:val="auto"/>
          <w:kern w:val="2"/>
          <w:sz w:val="32"/>
          <w:szCs w:val="32"/>
          <w:lang w:val="en-US" w:eastAsia="zh-CN"/>
        </w:rPr>
        <w:t>14.32万元</w:t>
      </w:r>
      <w:r>
        <w:rPr>
          <w:rFonts w:hint="eastAsia" w:ascii="Times New Roman" w:hAnsi="Times New Roman" w:eastAsia="仿宋_GB2312" w:cs="Times New Roman"/>
          <w:color w:val="auto"/>
          <w:kern w:val="2"/>
          <w:sz w:val="32"/>
          <w:szCs w:val="32"/>
        </w:rPr>
        <w:t>、印刷费</w:t>
      </w:r>
      <w:r>
        <w:rPr>
          <w:rFonts w:hint="eastAsia" w:ascii="Times New Roman" w:hAnsi="Times New Roman" w:eastAsia="仿宋_GB2312" w:cs="Times New Roman"/>
          <w:color w:val="auto"/>
          <w:kern w:val="2"/>
          <w:sz w:val="32"/>
          <w:szCs w:val="32"/>
          <w:lang w:val="en-US" w:eastAsia="zh-CN"/>
        </w:rPr>
        <w:t>17.88万元</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水费0.32万元、电费3.69万元、邮电费0.32万元、取暖费3.02万元、差旅费3.24万元、维修费6.69万元、会议费11.16万元、专用材料费24.91万元、专用燃料费0.25万元、劳务费11.03万元、工会经费57.2万元、公务用车运行维护费13.49万元、其他交通费用8.93万元、其他商品和服务支出75.50万元</w:t>
      </w:r>
      <w:r>
        <w:rPr>
          <w:rFonts w:hint="eastAsia" w:ascii="Times New Roman" w:hAnsi="Times New Roman" w:eastAsia="仿宋_GB2312" w:cs="Times New Roman"/>
          <w:color w:val="auto"/>
          <w:kern w:val="2"/>
          <w:sz w:val="32"/>
          <w:szCs w:val="32"/>
        </w:rPr>
        <w:t>。</w:t>
      </w:r>
    </w:p>
    <w:p>
      <w:pPr>
        <w:pStyle w:val="9"/>
        <w:widowControl/>
        <w:spacing w:line="600" w:lineRule="exact"/>
        <w:ind w:left="640" w:firstLine="0" w:firstLineChars="0"/>
        <w:rPr>
          <w:rFonts w:ascii="Times New Roman" w:hAnsi="Times New Roman" w:eastAsia="黑体"/>
          <w:sz w:val="32"/>
          <w:szCs w:val="32"/>
        </w:rPr>
      </w:pPr>
      <w:r>
        <w:rPr>
          <w:rFonts w:hint="eastAsia" w:ascii="Times New Roman" w:hAnsi="Times New Roman" w:eastAsia="黑体"/>
          <w:sz w:val="32"/>
          <w:szCs w:val="32"/>
        </w:rPr>
        <w:t>（二）项目支出情况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本单位202</w:t>
      </w:r>
      <w:r>
        <w:rPr>
          <w:rFonts w:hint="eastAsia" w:eastAsia="仿宋_GB2312"/>
          <w:sz w:val="32"/>
          <w:szCs w:val="32"/>
          <w:lang w:val="en-US" w:eastAsia="zh-CN"/>
        </w:rPr>
        <w:t>1</w:t>
      </w:r>
      <w:r>
        <w:rPr>
          <w:rFonts w:hint="eastAsia" w:eastAsia="仿宋_GB2312"/>
          <w:sz w:val="32"/>
          <w:szCs w:val="32"/>
        </w:rPr>
        <w:t>年度无项目支出。</w:t>
      </w:r>
    </w:p>
    <w:p>
      <w:pPr>
        <w:pStyle w:val="9"/>
        <w:widowControl/>
        <w:numPr>
          <w:ilvl w:val="0"/>
          <w:numId w:val="1"/>
        </w:numPr>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政府性基金预算支出情况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年度政府性基金预算财政拨款收入</w:t>
      </w:r>
      <w:r>
        <w:rPr>
          <w:rFonts w:hint="eastAsia" w:eastAsia="仿宋_GB2312"/>
          <w:sz w:val="32"/>
          <w:szCs w:val="32"/>
          <w:lang w:val="en-US" w:eastAsia="zh-CN"/>
        </w:rPr>
        <w:t>0</w:t>
      </w:r>
      <w:r>
        <w:rPr>
          <w:rFonts w:hint="eastAsia" w:eastAsia="仿宋_GB2312"/>
          <w:sz w:val="32"/>
          <w:szCs w:val="32"/>
        </w:rPr>
        <w:t>万元，为抗疫国债资金</w:t>
      </w:r>
      <w:r>
        <w:rPr>
          <w:rFonts w:hint="eastAsia" w:eastAsia="仿宋_GB2312"/>
          <w:sz w:val="32"/>
          <w:szCs w:val="32"/>
          <w:lang w:val="en-US" w:eastAsia="zh-CN"/>
        </w:rPr>
        <w:t>0</w:t>
      </w:r>
      <w:r>
        <w:rPr>
          <w:rFonts w:hint="eastAsia" w:eastAsia="仿宋_GB2312"/>
          <w:sz w:val="32"/>
          <w:szCs w:val="32"/>
        </w:rPr>
        <w:t>万元。本年支出</w:t>
      </w:r>
      <w:r>
        <w:rPr>
          <w:rFonts w:hint="eastAsia" w:eastAsia="仿宋_GB2312"/>
          <w:sz w:val="32"/>
          <w:szCs w:val="32"/>
          <w:lang w:val="en-US" w:eastAsia="zh-CN"/>
        </w:rPr>
        <w:t>0</w:t>
      </w:r>
      <w:r>
        <w:rPr>
          <w:rFonts w:hint="eastAsia" w:eastAsia="仿宋_GB2312"/>
          <w:sz w:val="32"/>
          <w:szCs w:val="32"/>
        </w:rPr>
        <w:t>万元，年末结转和结余 0万元。</w:t>
      </w:r>
    </w:p>
    <w:p>
      <w:pPr>
        <w:pStyle w:val="9"/>
        <w:widowControl/>
        <w:numPr>
          <w:ilvl w:val="0"/>
          <w:numId w:val="1"/>
        </w:numPr>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国有资本经营预算支出情况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本单位2020年无国有资本经营预算支出。</w:t>
      </w:r>
    </w:p>
    <w:p>
      <w:pPr>
        <w:pStyle w:val="9"/>
        <w:widowControl/>
        <w:numPr>
          <w:ilvl w:val="0"/>
          <w:numId w:val="1"/>
        </w:numPr>
        <w:spacing w:line="600" w:lineRule="exact"/>
        <w:ind w:left="640" w:firstLine="0" w:firstLineChars="0"/>
        <w:jc w:val="left"/>
        <w:rPr>
          <w:rFonts w:ascii="Times New Roman" w:hAnsi="Times New Roman" w:eastAsia="黑体"/>
          <w:sz w:val="32"/>
          <w:szCs w:val="32"/>
        </w:rPr>
      </w:pPr>
      <w:r>
        <w:rPr>
          <w:rFonts w:hint="eastAsia" w:ascii="Times New Roman" w:hAnsi="Times New Roman" w:eastAsia="黑体"/>
          <w:sz w:val="32"/>
          <w:szCs w:val="32"/>
        </w:rPr>
        <w:t>社会保险基金预算支出情况</w:t>
      </w:r>
    </w:p>
    <w:p>
      <w:pPr>
        <w:widowControl/>
        <w:spacing w:line="600" w:lineRule="exact"/>
        <w:ind w:firstLine="640" w:firstLineChars="200"/>
        <w:jc w:val="left"/>
        <w:rPr>
          <w:rFonts w:eastAsia="仿宋_GB2312"/>
          <w:sz w:val="32"/>
          <w:szCs w:val="32"/>
        </w:rPr>
      </w:pPr>
      <w:r>
        <w:rPr>
          <w:rFonts w:hint="eastAsia" w:eastAsia="仿宋_GB2312"/>
          <w:sz w:val="32"/>
          <w:szCs w:val="32"/>
        </w:rPr>
        <w:t>本单位2020年无社会保险基金预算支出。</w:t>
      </w:r>
    </w:p>
    <w:p>
      <w:pPr>
        <w:widowControl/>
        <w:spacing w:line="600" w:lineRule="exact"/>
        <w:ind w:firstLine="645"/>
        <w:jc w:val="left"/>
        <w:rPr>
          <w:rFonts w:eastAsia="黑体"/>
          <w:sz w:val="32"/>
          <w:szCs w:val="32"/>
        </w:rPr>
      </w:pPr>
      <w:r>
        <w:rPr>
          <w:rFonts w:hint="eastAsia" w:eastAsia="黑体"/>
          <w:sz w:val="32"/>
          <w:szCs w:val="32"/>
        </w:rPr>
        <w:t>五、部门整体支出绩效情况</w:t>
      </w:r>
    </w:p>
    <w:p>
      <w:pPr>
        <w:pStyle w:val="10"/>
        <w:ind w:firstLine="640" w:firstLineChars="2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我单位以绩效目标实现为导向，进一步加强制度建设，提升自评质量，预算绩效管理取得一定成效。一是抓好绩效目标编制，及时报送绩效目标。二是探索绩效跟踪监控，要求加强过程监控。三是深入开展财政支出绩效评价，对专项资金实施绩效自评和项目核查，在此基础上形成自评报告。四是强化评价结果应用，组织绩效自评和绩效跟踪监控，对发现的问题及时改进，加强评价结果与项目资金安排的衔接。五是健全绩效管理工作机制，明确职责分工，努力提高了绩效管理工作水平。</w:t>
      </w:r>
    </w:p>
    <w:p>
      <w:pPr>
        <w:widowControl/>
        <w:spacing w:line="600" w:lineRule="exact"/>
        <w:ind w:firstLine="640" w:firstLineChars="200"/>
        <w:jc w:val="left"/>
        <w:rPr>
          <w:rFonts w:eastAsia="黑体"/>
          <w:sz w:val="32"/>
          <w:szCs w:val="32"/>
        </w:rPr>
      </w:pPr>
      <w:r>
        <w:rPr>
          <w:rFonts w:hint="eastAsia" w:eastAsia="黑体"/>
          <w:sz w:val="32"/>
          <w:szCs w:val="32"/>
        </w:rPr>
        <w:t>六、存在的问题及原因分析</w:t>
      </w:r>
    </w:p>
    <w:p>
      <w:pPr>
        <w:widowControl/>
        <w:spacing w:line="600" w:lineRule="exact"/>
        <w:ind w:firstLine="640" w:firstLineChars="200"/>
        <w:jc w:val="left"/>
        <w:rPr>
          <w:rFonts w:eastAsia="仿宋_GB2312"/>
          <w:sz w:val="32"/>
          <w:szCs w:val="32"/>
        </w:rPr>
      </w:pPr>
      <w:r>
        <w:rPr>
          <w:rFonts w:hint="eastAsia" w:eastAsia="仿宋_GB2312"/>
          <w:sz w:val="32"/>
          <w:szCs w:val="32"/>
        </w:rPr>
        <w:t>绩效目标设立不够明确、细化和量化。项目单位虽然设立了项目资金绩效目标，但目标不够明确、细化和量化。主要原因是财务人员业务水平有待提高。</w:t>
      </w:r>
    </w:p>
    <w:p>
      <w:pPr>
        <w:widowControl/>
        <w:numPr>
          <w:ilvl w:val="0"/>
          <w:numId w:val="2"/>
        </w:numPr>
        <w:spacing w:line="600" w:lineRule="exact"/>
        <w:ind w:firstLine="640" w:firstLineChars="200"/>
        <w:jc w:val="left"/>
        <w:rPr>
          <w:rFonts w:eastAsia="黑体"/>
          <w:sz w:val="32"/>
          <w:szCs w:val="32"/>
        </w:rPr>
      </w:pPr>
      <w:r>
        <w:rPr>
          <w:rFonts w:hint="eastAsia" w:eastAsia="黑体"/>
          <w:sz w:val="32"/>
          <w:szCs w:val="32"/>
        </w:rPr>
        <w:t>下一步改进措施</w:t>
      </w:r>
    </w:p>
    <w:p>
      <w:pPr>
        <w:widowControl/>
        <w:spacing w:line="600" w:lineRule="exact"/>
        <w:ind w:firstLine="640" w:firstLineChars="200"/>
        <w:jc w:val="left"/>
        <w:rPr>
          <w:rFonts w:eastAsia="仿宋_GB2312"/>
          <w:sz w:val="32"/>
          <w:szCs w:val="32"/>
        </w:rPr>
      </w:pPr>
      <w:r>
        <w:rPr>
          <w:rFonts w:eastAsia="仿宋_GB2312"/>
          <w:sz w:val="32"/>
          <w:szCs w:val="32"/>
        </w:rPr>
        <w:t>一、学合理编制预算并严格执行预算。</w:t>
      </w:r>
    </w:p>
    <w:p>
      <w:pPr>
        <w:widowControl/>
        <w:spacing w:line="600" w:lineRule="exact"/>
        <w:ind w:firstLine="640" w:firstLineChars="200"/>
        <w:jc w:val="left"/>
        <w:rPr>
          <w:rFonts w:eastAsia="仿宋_GB2312"/>
          <w:sz w:val="32"/>
          <w:szCs w:val="32"/>
        </w:rPr>
      </w:pPr>
      <w:r>
        <w:rPr>
          <w:rFonts w:eastAsia="仿宋_GB2312"/>
          <w:sz w:val="32"/>
          <w:szCs w:val="32"/>
        </w:rPr>
        <w:t>二、规范账务处理，提高财务信息质量</w:t>
      </w:r>
    </w:p>
    <w:p>
      <w:pPr>
        <w:widowControl/>
        <w:spacing w:line="600" w:lineRule="exact"/>
        <w:ind w:firstLine="640" w:firstLineChars="200"/>
        <w:jc w:val="left"/>
        <w:rPr>
          <w:rFonts w:eastAsia="仿宋_GB2312"/>
          <w:sz w:val="32"/>
          <w:szCs w:val="32"/>
        </w:rPr>
      </w:pPr>
      <w:r>
        <w:rPr>
          <w:rFonts w:eastAsia="仿宋_GB2312"/>
          <w:sz w:val="32"/>
          <w:szCs w:val="32"/>
        </w:rPr>
        <w:t>三、完善管理制度，加强资产管理。</w:t>
      </w:r>
    </w:p>
    <w:p>
      <w:pPr>
        <w:widowControl/>
        <w:spacing w:line="600" w:lineRule="exact"/>
        <w:ind w:firstLine="640" w:firstLineChars="200"/>
        <w:jc w:val="left"/>
        <w:rPr>
          <w:rFonts w:eastAsia="仿宋_GB2312"/>
          <w:sz w:val="32"/>
          <w:szCs w:val="32"/>
        </w:rPr>
      </w:pPr>
      <w:r>
        <w:rPr>
          <w:rFonts w:eastAsia="仿宋_GB2312"/>
          <w:sz w:val="32"/>
          <w:szCs w:val="32"/>
        </w:rPr>
        <w:t>四、加强业务培训和会计制度及预算法学习</w:t>
      </w: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line="600" w:lineRule="exact"/>
        <w:rPr>
          <w:rFonts w:hint="eastAsia" w:eastAsia="黑体"/>
          <w:sz w:val="32"/>
          <w:szCs w:val="32"/>
        </w:rPr>
      </w:pPr>
    </w:p>
    <w:p>
      <w:pPr>
        <w:spacing w:beforeLines="50" w:line="320" w:lineRule="exact"/>
      </w:pPr>
    </w:p>
    <w:sectPr>
      <w:pgSz w:w="11906" w:h="16838"/>
      <w:pgMar w:top="46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B47AF"/>
    <w:multiLevelType w:val="singleLevel"/>
    <w:tmpl w:val="C7AB47AF"/>
    <w:lvl w:ilvl="0" w:tentative="0">
      <w:start w:val="7"/>
      <w:numFmt w:val="chineseCounting"/>
      <w:suff w:val="nothing"/>
      <w:lvlText w:val="%1、"/>
      <w:lvlJc w:val="left"/>
      <w:rPr>
        <w:rFonts w:hint="eastAsia"/>
      </w:rPr>
    </w:lvl>
  </w:abstractNum>
  <w:abstractNum w:abstractNumId="1">
    <w:nsid w:val="5148AE64"/>
    <w:multiLevelType w:val="singleLevel"/>
    <w:tmpl w:val="5148AE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OTgxYjg3ZGM3OGM4MDZhOTlmNjVkZTNmM2ZlZmYifQ=="/>
  </w:docVars>
  <w:rsids>
    <w:rsidRoot w:val="00A045A1"/>
    <w:rsid w:val="000000A5"/>
    <w:rsid w:val="00022046"/>
    <w:rsid w:val="00037FEA"/>
    <w:rsid w:val="000B0765"/>
    <w:rsid w:val="000B57BC"/>
    <w:rsid w:val="001107A7"/>
    <w:rsid w:val="00162440"/>
    <w:rsid w:val="00174EEF"/>
    <w:rsid w:val="001A127E"/>
    <w:rsid w:val="00234476"/>
    <w:rsid w:val="002530C6"/>
    <w:rsid w:val="002558F7"/>
    <w:rsid w:val="002752D6"/>
    <w:rsid w:val="0031755D"/>
    <w:rsid w:val="003711D0"/>
    <w:rsid w:val="00377767"/>
    <w:rsid w:val="00377A33"/>
    <w:rsid w:val="00396AAA"/>
    <w:rsid w:val="003E5114"/>
    <w:rsid w:val="00426627"/>
    <w:rsid w:val="004869C4"/>
    <w:rsid w:val="00493979"/>
    <w:rsid w:val="005833DD"/>
    <w:rsid w:val="00595424"/>
    <w:rsid w:val="00597FBB"/>
    <w:rsid w:val="005A4AB0"/>
    <w:rsid w:val="00614437"/>
    <w:rsid w:val="00634126"/>
    <w:rsid w:val="006370F0"/>
    <w:rsid w:val="006811E5"/>
    <w:rsid w:val="006A57F6"/>
    <w:rsid w:val="006B5E37"/>
    <w:rsid w:val="007B54D9"/>
    <w:rsid w:val="00822DA2"/>
    <w:rsid w:val="00887C00"/>
    <w:rsid w:val="008A4834"/>
    <w:rsid w:val="008D7141"/>
    <w:rsid w:val="008D77F4"/>
    <w:rsid w:val="00947E30"/>
    <w:rsid w:val="009677C0"/>
    <w:rsid w:val="009A29A3"/>
    <w:rsid w:val="009D3359"/>
    <w:rsid w:val="009D4AE4"/>
    <w:rsid w:val="00A045A1"/>
    <w:rsid w:val="00A070E1"/>
    <w:rsid w:val="00A317C9"/>
    <w:rsid w:val="00A3605E"/>
    <w:rsid w:val="00A75C37"/>
    <w:rsid w:val="00A865A7"/>
    <w:rsid w:val="00A86D65"/>
    <w:rsid w:val="00AA700A"/>
    <w:rsid w:val="00B364CE"/>
    <w:rsid w:val="00B56634"/>
    <w:rsid w:val="00BB062F"/>
    <w:rsid w:val="00BB55FB"/>
    <w:rsid w:val="00BB6107"/>
    <w:rsid w:val="00BC61F7"/>
    <w:rsid w:val="00BD1C3A"/>
    <w:rsid w:val="00BF151A"/>
    <w:rsid w:val="00C25716"/>
    <w:rsid w:val="00C3391C"/>
    <w:rsid w:val="00C344EC"/>
    <w:rsid w:val="00C4552C"/>
    <w:rsid w:val="00C72139"/>
    <w:rsid w:val="00C743CE"/>
    <w:rsid w:val="00CA4203"/>
    <w:rsid w:val="00CC4C2C"/>
    <w:rsid w:val="00CD20A2"/>
    <w:rsid w:val="00D10324"/>
    <w:rsid w:val="00D42786"/>
    <w:rsid w:val="00E127F9"/>
    <w:rsid w:val="00E50869"/>
    <w:rsid w:val="00F318D3"/>
    <w:rsid w:val="00F45BFB"/>
    <w:rsid w:val="00F55CD7"/>
    <w:rsid w:val="00F779E8"/>
    <w:rsid w:val="00FC7FE9"/>
    <w:rsid w:val="046B2252"/>
    <w:rsid w:val="2AC307FB"/>
    <w:rsid w:val="31C9721E"/>
    <w:rsid w:val="37B356BE"/>
    <w:rsid w:val="44664F3E"/>
    <w:rsid w:val="5D4A1F92"/>
    <w:rsid w:val="720B61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qFormat/>
    <w:locked/>
    <w:uiPriority w:val="99"/>
    <w:rPr>
      <w:rFonts w:cs="Times New Roman"/>
      <w:sz w:val="18"/>
      <w:szCs w:val="18"/>
    </w:rPr>
  </w:style>
  <w:style w:type="paragraph" w:styleId="9">
    <w:name w:val="List Paragraph"/>
    <w:basedOn w:val="1"/>
    <w:qFormat/>
    <w:uiPriority w:val="99"/>
    <w:pPr>
      <w:ind w:firstLine="420" w:firstLineChars="200"/>
    </w:pPr>
    <w:rPr>
      <w:rFonts w:ascii="Calibri" w:hAnsi="Calibri"/>
      <w:szCs w:val="22"/>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8593</Words>
  <Characters>9263</Characters>
  <Lines>73</Lines>
  <Paragraphs>20</Paragraphs>
  <TotalTime>0</TotalTime>
  <ScaleCrop>false</ScaleCrop>
  <LinksUpToDate>false</LinksUpToDate>
  <CharactersWithSpaces>9430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2021-09-03T07:00:00Z</dcterms:created>
  <dc:creator>AutoBVT</dc:creator>
  <cp:lastModifiedBy>Administrator</cp:lastModifiedBy>
  <cp:lastPrinted>2021-09-06T01:38:00Z</cp:lastPrinted>
  <dcterms:modified xsi:type="dcterms:W3CDTF">2022-08-01T03:27:37Z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E8C9C21962194894B8239B83AEB0422B</vt:lpwstr>
  </property>
</Properties>
</file>