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_GB2312"/>
          <w:sz w:val="28"/>
          <w:szCs w:val="28"/>
        </w:rPr>
      </w:pPr>
      <w:r>
        <w:rPr>
          <w:rFonts w:hint="eastAsia" w:ascii="仿宋" w:hAnsi="仿宋" w:eastAsia="仿宋" w:cs="仿宋_GB2312"/>
          <w:sz w:val="28"/>
          <w:szCs w:val="28"/>
        </w:rPr>
        <w:t>附件2：</w:t>
      </w:r>
    </w:p>
    <w:p>
      <w:pPr>
        <w:spacing w:line="600" w:lineRule="atLeast"/>
        <w:jc w:val="center"/>
        <w:rPr>
          <w:rFonts w:hint="eastAsia" w:ascii="仿宋" w:hAnsi="仿宋" w:eastAsia="仿宋" w:cs="宋体"/>
          <w:sz w:val="28"/>
          <w:szCs w:val="28"/>
        </w:rPr>
      </w:pPr>
      <w:r>
        <w:rPr>
          <w:rFonts w:hint="eastAsia" w:ascii="仿宋" w:hAnsi="仿宋" w:eastAsia="仿宋" w:cs="宋体"/>
          <w:b/>
          <w:color w:val="000000"/>
          <w:sz w:val="28"/>
          <w:szCs w:val="28"/>
        </w:rPr>
        <w:t>部门整体支出绩效评价指标体系评分表</w:t>
      </w:r>
    </w:p>
    <w:tbl>
      <w:tblPr>
        <w:tblStyle w:val="2"/>
        <w:tblW w:w="99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880"/>
        <w:gridCol w:w="709"/>
        <w:gridCol w:w="4536"/>
        <w:gridCol w:w="2286"/>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宋体"/>
                <w:sz w:val="24"/>
                <w:szCs w:val="24"/>
              </w:rPr>
            </w:pPr>
            <w:r>
              <w:rPr>
                <w:rFonts w:hint="eastAsia" w:ascii="仿宋" w:hAnsi="仿宋" w:eastAsia="仿宋" w:cs="Arial"/>
                <w:b/>
                <w:bCs/>
                <w:sz w:val="24"/>
                <w:szCs w:val="24"/>
              </w:rPr>
              <w:t>一级指标</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宋体"/>
                <w:sz w:val="24"/>
                <w:szCs w:val="24"/>
              </w:rPr>
            </w:pPr>
            <w:r>
              <w:rPr>
                <w:rFonts w:hint="eastAsia" w:ascii="仿宋" w:hAnsi="仿宋" w:eastAsia="仿宋" w:cs="Arial"/>
                <w:b/>
                <w:bCs/>
                <w:sz w:val="24"/>
                <w:szCs w:val="24"/>
              </w:rPr>
              <w:t>二级指标</w:t>
            </w:r>
          </w:p>
        </w:tc>
        <w:tc>
          <w:tcPr>
            <w:tcW w:w="5245" w:type="dxa"/>
            <w:gridSpan w:val="2"/>
            <w:tcBorders>
              <w:top w:val="single" w:color="000000" w:sz="4" w:space="0"/>
              <w:left w:val="single" w:color="000000" w:sz="4" w:space="0"/>
              <w:bottom w:val="single" w:color="000000" w:sz="4" w:space="0"/>
              <w:right w:val="single" w:color="auto" w:sz="4" w:space="0"/>
            </w:tcBorders>
            <w:vAlign w:val="center"/>
          </w:tcPr>
          <w:p>
            <w:pPr>
              <w:spacing w:line="340" w:lineRule="exact"/>
              <w:jc w:val="center"/>
              <w:rPr>
                <w:rFonts w:hint="eastAsia" w:ascii="仿宋" w:hAnsi="仿宋" w:eastAsia="仿宋" w:cs="宋体"/>
                <w:sz w:val="24"/>
                <w:szCs w:val="24"/>
              </w:rPr>
            </w:pPr>
            <w:r>
              <w:rPr>
                <w:rFonts w:hint="eastAsia" w:ascii="仿宋" w:hAnsi="仿宋" w:eastAsia="仿宋" w:cs="Arial"/>
                <w:b/>
                <w:bCs/>
                <w:sz w:val="24"/>
                <w:szCs w:val="24"/>
              </w:rPr>
              <w:t>三级指标</w:t>
            </w:r>
          </w:p>
        </w:tc>
        <w:tc>
          <w:tcPr>
            <w:tcW w:w="2286" w:type="dxa"/>
            <w:vMerge w:val="restart"/>
            <w:tcBorders>
              <w:top w:val="single" w:color="000000" w:sz="4" w:space="0"/>
              <w:left w:val="nil"/>
              <w:bottom w:val="single" w:color="000000" w:sz="4" w:space="0"/>
              <w:right w:val="single" w:color="auto" w:sz="4" w:space="0"/>
            </w:tcBorders>
            <w:vAlign w:val="center"/>
          </w:tcPr>
          <w:p>
            <w:pPr>
              <w:spacing w:line="340" w:lineRule="exact"/>
              <w:jc w:val="center"/>
              <w:rPr>
                <w:rFonts w:hint="eastAsia" w:ascii="仿宋" w:hAnsi="仿宋" w:eastAsia="仿宋" w:cs="宋体"/>
                <w:sz w:val="24"/>
                <w:szCs w:val="24"/>
              </w:rPr>
            </w:pPr>
            <w:r>
              <w:rPr>
                <w:rFonts w:hint="eastAsia" w:ascii="仿宋" w:hAnsi="仿宋" w:eastAsia="仿宋" w:cs="Arial"/>
                <w:b/>
                <w:bCs/>
                <w:sz w:val="24"/>
                <w:szCs w:val="24"/>
              </w:rPr>
              <w:t>评分标准</w:t>
            </w:r>
          </w:p>
        </w:tc>
        <w:tc>
          <w:tcPr>
            <w:tcW w:w="794" w:type="dxa"/>
            <w:vMerge w:val="restart"/>
            <w:tcBorders>
              <w:top w:val="single" w:color="000000" w:sz="4" w:space="0"/>
              <w:left w:val="nil"/>
              <w:bottom w:val="single" w:color="000000" w:sz="4" w:space="0"/>
              <w:right w:val="single" w:color="auto" w:sz="4" w:space="0"/>
            </w:tcBorders>
            <w:vAlign w:val="center"/>
          </w:tcPr>
          <w:p>
            <w:pPr>
              <w:spacing w:line="340" w:lineRule="exact"/>
              <w:jc w:val="center"/>
              <w:rPr>
                <w:rFonts w:hint="eastAsia" w:ascii="仿宋" w:hAnsi="仿宋" w:eastAsia="仿宋" w:cs="宋体"/>
                <w:sz w:val="24"/>
                <w:szCs w:val="24"/>
              </w:rPr>
            </w:pPr>
            <w:r>
              <w:rPr>
                <w:rFonts w:hint="eastAsia" w:ascii="仿宋" w:hAnsi="仿宋" w:eastAsia="仿宋" w:cs="Arial"/>
                <w:b/>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jc w:val="center"/>
              <w:rPr>
                <w:rFonts w:hint="eastAsia" w:ascii="仿宋" w:hAnsi="仿宋" w:eastAsia="仿宋" w:cs="宋体"/>
                <w:sz w:val="24"/>
                <w:szCs w:val="24"/>
              </w:rPr>
            </w:pPr>
            <w:r>
              <w:rPr>
                <w:rFonts w:hint="eastAsia" w:ascii="仿宋" w:hAnsi="仿宋" w:eastAsia="仿宋" w:cs="Arial"/>
                <w:b/>
                <w:bCs/>
                <w:sz w:val="24"/>
                <w:szCs w:val="24"/>
              </w:rPr>
              <w:t>指标名称</w:t>
            </w:r>
          </w:p>
        </w:tc>
        <w:tc>
          <w:tcPr>
            <w:tcW w:w="4536" w:type="dxa"/>
            <w:tcBorders>
              <w:top w:val="single" w:color="000000" w:sz="4" w:space="0"/>
              <w:left w:val="nil"/>
              <w:bottom w:val="single" w:color="000000" w:sz="4" w:space="0"/>
              <w:right w:val="single" w:color="auto" w:sz="4" w:space="0"/>
            </w:tcBorders>
            <w:vAlign w:val="center"/>
          </w:tcPr>
          <w:p>
            <w:pPr>
              <w:spacing w:line="340" w:lineRule="exact"/>
              <w:jc w:val="center"/>
              <w:rPr>
                <w:rFonts w:hint="eastAsia" w:ascii="仿宋" w:hAnsi="仿宋" w:eastAsia="仿宋" w:cs="宋体"/>
                <w:sz w:val="24"/>
                <w:szCs w:val="24"/>
              </w:rPr>
            </w:pPr>
            <w:r>
              <w:rPr>
                <w:rFonts w:hint="eastAsia" w:ascii="仿宋" w:hAnsi="仿宋" w:eastAsia="仿宋" w:cs="Arial"/>
                <w:b/>
                <w:bCs/>
                <w:sz w:val="24"/>
                <w:szCs w:val="24"/>
              </w:rPr>
              <w:t>指标解释说明</w:t>
            </w:r>
          </w:p>
        </w:tc>
        <w:tc>
          <w:tcPr>
            <w:tcW w:w="2286" w:type="dxa"/>
            <w:vMerge w:val="continue"/>
            <w:tcBorders>
              <w:top w:val="single" w:color="000000" w:sz="4" w:space="0"/>
              <w:left w:val="nil"/>
              <w:bottom w:val="single" w:color="000000" w:sz="4" w:space="0"/>
              <w:right w:val="single" w:color="auto" w:sz="4" w:space="0"/>
            </w:tcBorders>
            <w:vAlign w:val="center"/>
          </w:tcPr>
          <w:p>
            <w:pPr>
              <w:widowControl/>
              <w:jc w:val="left"/>
              <w:rPr>
                <w:rFonts w:ascii="仿宋" w:hAnsi="仿宋" w:eastAsia="仿宋" w:cs="宋体"/>
                <w:sz w:val="24"/>
                <w:szCs w:val="24"/>
              </w:rPr>
            </w:pPr>
          </w:p>
        </w:tc>
        <w:tc>
          <w:tcPr>
            <w:tcW w:w="794" w:type="dxa"/>
            <w:vMerge w:val="continue"/>
            <w:tcBorders>
              <w:top w:val="single" w:color="000000" w:sz="4" w:space="0"/>
              <w:left w:val="nil"/>
              <w:bottom w:val="single" w:color="000000" w:sz="4" w:space="0"/>
              <w:right w:val="single" w:color="auto" w:sz="4" w:space="0"/>
            </w:tcBorders>
            <w:vAlign w:val="center"/>
          </w:tcPr>
          <w:p>
            <w:pPr>
              <w:widowControl/>
              <w:jc w:val="left"/>
              <w:rPr>
                <w:rFonts w:ascii="仿宋" w:hAnsi="仿宋" w:eastAsia="仿宋"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69" w:type="dxa"/>
            <w:vMerge w:val="restart"/>
            <w:tcBorders>
              <w:top w:val="nil"/>
              <w:left w:val="single" w:color="000000" w:sz="4" w:space="0"/>
              <w:bottom w:val="single" w:color="000000" w:sz="4" w:space="0"/>
              <w:right w:val="single" w:color="000000" w:sz="4" w:space="0"/>
            </w:tcBorders>
          </w:tcPr>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r>
              <w:rPr>
                <w:rFonts w:hint="eastAsia" w:ascii="仿宋" w:hAnsi="仿宋" w:eastAsia="仿宋" w:cs="Arial"/>
                <w:sz w:val="24"/>
                <w:szCs w:val="24"/>
              </w:rPr>
              <w:t>投入（15分）</w:t>
            </w: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宋体"/>
                <w:sz w:val="24"/>
                <w:szCs w:val="24"/>
              </w:rPr>
            </w:pPr>
            <w:r>
              <w:rPr>
                <w:rFonts w:hint="eastAsia" w:ascii="仿宋" w:hAnsi="仿宋" w:eastAsia="仿宋" w:cs="Arial"/>
                <w:sz w:val="24"/>
                <w:szCs w:val="24"/>
              </w:rPr>
              <w:t>投入（15分）</w:t>
            </w:r>
          </w:p>
        </w:tc>
        <w:tc>
          <w:tcPr>
            <w:tcW w:w="880" w:type="dxa"/>
            <w:vMerge w:val="restart"/>
            <w:tcBorders>
              <w:top w:val="nil"/>
              <w:left w:val="single" w:color="000000" w:sz="4" w:space="0"/>
              <w:bottom w:val="single" w:color="000000" w:sz="4" w:space="0"/>
              <w:right w:val="single" w:color="000000" w:sz="4" w:space="0"/>
            </w:tcBorders>
          </w:tcPr>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宋体"/>
                <w:sz w:val="24"/>
                <w:szCs w:val="24"/>
              </w:rPr>
            </w:pPr>
            <w:r>
              <w:rPr>
                <w:rFonts w:hint="eastAsia" w:ascii="仿宋" w:hAnsi="仿宋" w:eastAsia="仿宋" w:cs="Arial"/>
                <w:sz w:val="24"/>
                <w:szCs w:val="24"/>
              </w:rPr>
              <w:t>目标设定</w:t>
            </w:r>
          </w:p>
          <w:p>
            <w:pPr>
              <w:spacing w:line="340" w:lineRule="exact"/>
              <w:rPr>
                <w:rFonts w:hint="eastAsia" w:ascii="仿宋" w:hAnsi="仿宋" w:eastAsia="仿宋" w:cs="宋体"/>
                <w:sz w:val="24"/>
                <w:szCs w:val="24"/>
              </w:rPr>
            </w:pPr>
            <w:r>
              <w:rPr>
                <w:rFonts w:hint="eastAsia" w:ascii="仿宋" w:hAnsi="仿宋" w:eastAsia="仿宋" w:cs="Arial"/>
                <w:sz w:val="24"/>
                <w:szCs w:val="24"/>
              </w:rPr>
              <w:t>（5分）</w:t>
            </w:r>
          </w:p>
        </w:tc>
        <w:tc>
          <w:tcPr>
            <w:tcW w:w="709" w:type="dxa"/>
            <w:tcBorders>
              <w:top w:val="single" w:color="000000" w:sz="4" w:space="0"/>
              <w:left w:val="single" w:color="000000" w:sz="4" w:space="0"/>
              <w:bottom w:val="single" w:color="auto" w:sz="4" w:space="0"/>
              <w:right w:val="single" w:color="auto" w:sz="4" w:space="0"/>
            </w:tcBorders>
          </w:tcPr>
          <w:p>
            <w:pPr>
              <w:spacing w:line="340" w:lineRule="exact"/>
              <w:rPr>
                <w:rFonts w:hint="eastAsia" w:ascii="仿宋" w:hAnsi="仿宋" w:eastAsia="仿宋" w:cs="宋体"/>
              </w:rPr>
            </w:pPr>
            <w:r>
              <w:rPr>
                <w:rFonts w:hint="eastAsia" w:ascii="仿宋" w:hAnsi="仿宋" w:eastAsia="仿宋" w:cs="Arial"/>
              </w:rPr>
              <w:t>职责明确（1分）</w:t>
            </w:r>
          </w:p>
        </w:tc>
        <w:tc>
          <w:tcPr>
            <w:tcW w:w="4536" w:type="dxa"/>
            <w:tcBorders>
              <w:top w:val="single" w:color="000000" w:sz="4" w:space="0"/>
              <w:left w:val="nil"/>
              <w:bottom w:val="single" w:color="auto" w:sz="4" w:space="0"/>
              <w:right w:val="single" w:color="auto" w:sz="4" w:space="0"/>
            </w:tcBorders>
          </w:tcPr>
          <w:p>
            <w:pPr>
              <w:spacing w:line="340" w:lineRule="exact"/>
              <w:rPr>
                <w:rFonts w:hint="eastAsia" w:ascii="仿宋" w:hAnsi="仿宋" w:eastAsia="仿宋" w:cs="宋体"/>
              </w:rPr>
            </w:pPr>
            <w:r>
              <w:rPr>
                <w:rFonts w:hint="eastAsia" w:ascii="仿宋" w:hAnsi="仿宋" w:eastAsia="仿宋" w:cs="Arial"/>
              </w:rPr>
              <w:t>部门的职责设定是否符合“三定”方案中所赋予的职责和年度承担的重点工作，用以反映和评价部门工作的目的性与计划性。</w:t>
            </w:r>
          </w:p>
        </w:tc>
        <w:tc>
          <w:tcPr>
            <w:tcW w:w="2286" w:type="dxa"/>
            <w:tcBorders>
              <w:top w:val="single" w:color="000000" w:sz="4" w:space="0"/>
              <w:left w:val="nil"/>
              <w:bottom w:val="single" w:color="auto" w:sz="4" w:space="0"/>
              <w:right w:val="single" w:color="auto" w:sz="4" w:space="0"/>
            </w:tcBorders>
          </w:tcPr>
          <w:p>
            <w:pPr>
              <w:spacing w:line="340" w:lineRule="exact"/>
              <w:rPr>
                <w:rFonts w:hint="eastAsia" w:ascii="仿宋" w:hAnsi="仿宋" w:eastAsia="仿宋" w:cs="宋体"/>
              </w:rPr>
            </w:pPr>
            <w:r>
              <w:rPr>
                <w:rFonts w:hint="eastAsia" w:ascii="仿宋" w:hAnsi="仿宋" w:eastAsia="仿宋" w:cs="Arial"/>
              </w:rPr>
              <w:t>符合（1分）；</w:t>
            </w:r>
          </w:p>
          <w:p>
            <w:pPr>
              <w:spacing w:line="340" w:lineRule="exact"/>
              <w:rPr>
                <w:rFonts w:hint="eastAsia" w:ascii="仿宋" w:hAnsi="仿宋" w:eastAsia="仿宋" w:cs="宋体"/>
              </w:rPr>
            </w:pPr>
            <w:r>
              <w:rPr>
                <w:rFonts w:hint="eastAsia" w:ascii="仿宋" w:hAnsi="仿宋" w:eastAsia="仿宋" w:cs="Arial"/>
              </w:rPr>
              <w:t>不符合（0分）。</w:t>
            </w:r>
          </w:p>
        </w:tc>
        <w:tc>
          <w:tcPr>
            <w:tcW w:w="794" w:type="dxa"/>
            <w:tcBorders>
              <w:top w:val="single" w:color="000000" w:sz="4" w:space="0"/>
              <w:left w:val="nil"/>
              <w:bottom w:val="single" w:color="auto" w:sz="4" w:space="0"/>
              <w:right w:val="single" w:color="000000" w:sz="4" w:space="0"/>
            </w:tcBorders>
          </w:tcPr>
          <w:p>
            <w:pPr>
              <w:spacing w:line="340" w:lineRule="exact"/>
              <w:jc w:val="center"/>
              <w:rPr>
                <w:rFonts w:hint="eastAsia" w:ascii="宋体" w:hAnsi="宋体" w:eastAsia="仿宋" w:cs="Arial"/>
                <w:sz w:val="20"/>
                <w:szCs w:val="20"/>
              </w:rPr>
            </w:pPr>
          </w:p>
          <w:p>
            <w:pPr>
              <w:spacing w:line="340" w:lineRule="exact"/>
              <w:jc w:val="center"/>
              <w:rPr>
                <w:rFonts w:hint="eastAsia" w:ascii="仿宋" w:hAnsi="仿宋" w:eastAsia="仿宋" w:cs="宋体"/>
                <w:sz w:val="24"/>
                <w:szCs w:val="24"/>
              </w:rPr>
            </w:pPr>
            <w:r>
              <w:rPr>
                <w:rFonts w:hint="eastAsia" w:ascii="宋体" w:hAnsi="宋体" w:eastAsia="仿宋" w:cs="Arial"/>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活动合规性（1分）</w:t>
            </w:r>
          </w:p>
        </w:tc>
        <w:tc>
          <w:tcPr>
            <w:tcW w:w="453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部门的活动是否在职责范围之内并符合部门中长期规划，用以反映和评价部门活动目标与部门履职、年度工作任务的相符性情况。</w:t>
            </w:r>
          </w:p>
          <w:p>
            <w:pPr>
              <w:spacing w:line="340" w:lineRule="exact"/>
              <w:rPr>
                <w:rFonts w:hint="eastAsia" w:ascii="仿宋" w:hAnsi="仿宋" w:eastAsia="仿宋" w:cs="宋体"/>
              </w:rPr>
            </w:pPr>
            <w:r>
              <w:rPr>
                <w:rFonts w:hint="eastAsia" w:ascii="仿宋" w:hAnsi="仿宋" w:eastAsia="仿宋" w:cs="Arial"/>
              </w:rPr>
              <w:t>评价要点：</w:t>
            </w:r>
          </w:p>
          <w:p>
            <w:pPr>
              <w:spacing w:line="340" w:lineRule="exact"/>
              <w:rPr>
                <w:rFonts w:hint="eastAsia" w:ascii="仿宋" w:hAnsi="仿宋" w:eastAsia="仿宋" w:cs="宋体"/>
              </w:rPr>
            </w:pPr>
            <w:r>
              <w:rPr>
                <w:rFonts w:hint="eastAsia" w:ascii="仿宋" w:hAnsi="仿宋" w:eastAsia="仿宋" w:cs="Arial"/>
              </w:rPr>
              <w:t>1.部门活动的设定在部门所确定的职责范围之内；</w:t>
            </w:r>
          </w:p>
          <w:p>
            <w:pPr>
              <w:spacing w:line="340" w:lineRule="exact"/>
              <w:rPr>
                <w:rFonts w:hint="eastAsia" w:ascii="仿宋" w:hAnsi="仿宋" w:eastAsia="仿宋" w:cs="宋体"/>
              </w:rPr>
            </w:pPr>
            <w:r>
              <w:rPr>
                <w:rFonts w:hint="eastAsia" w:ascii="仿宋" w:hAnsi="仿宋" w:eastAsia="仿宋" w:cs="Arial"/>
              </w:rPr>
              <w:t>2.部门活动符合县委、县政府的发展规划及本部门的年度工作安排与发展规划。</w:t>
            </w:r>
          </w:p>
        </w:tc>
        <w:tc>
          <w:tcPr>
            <w:tcW w:w="228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全部符合（1分）；</w:t>
            </w:r>
          </w:p>
          <w:p>
            <w:pPr>
              <w:spacing w:line="340" w:lineRule="exact"/>
              <w:rPr>
                <w:rFonts w:hint="eastAsia" w:ascii="仿宋" w:hAnsi="仿宋" w:eastAsia="仿宋" w:cs="宋体"/>
              </w:rPr>
            </w:pPr>
            <w:r>
              <w:rPr>
                <w:rFonts w:hint="eastAsia" w:ascii="仿宋" w:hAnsi="仿宋" w:eastAsia="仿宋" w:cs="Arial"/>
              </w:rPr>
              <w:t>其中一项不符合（0分）。</w:t>
            </w:r>
          </w:p>
        </w:tc>
        <w:tc>
          <w:tcPr>
            <w:tcW w:w="794" w:type="dxa"/>
            <w:tcBorders>
              <w:top w:val="single" w:color="000000" w:sz="4" w:space="0"/>
              <w:left w:val="nil"/>
              <w:bottom w:val="single" w:color="auto" w:sz="4" w:space="0"/>
              <w:right w:val="single" w:color="000000" w:sz="4" w:space="0"/>
            </w:tcBorders>
            <w:vAlign w:val="center"/>
          </w:tcPr>
          <w:p>
            <w:pPr>
              <w:spacing w:line="340" w:lineRule="exact"/>
              <w:jc w:val="center"/>
              <w:rPr>
                <w:rFonts w:hint="eastAsia" w:ascii="仿宋" w:hAnsi="仿宋" w:eastAsia="仿宋" w:cs="宋体"/>
                <w:sz w:val="24"/>
                <w:szCs w:val="24"/>
              </w:rPr>
            </w:pPr>
            <w:r>
              <w:rPr>
                <w:rFonts w:hint="eastAsia" w:ascii="宋体" w:hAnsi="宋体" w:eastAsia="仿宋" w:cs="Arial"/>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活动合理性（1分）</w:t>
            </w:r>
          </w:p>
        </w:tc>
        <w:tc>
          <w:tcPr>
            <w:tcW w:w="453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部门所设立的活动是否明确合理、活动的关键性指标设置是否可衡量，用以反映和评价部门活动目标设定的合理性。</w:t>
            </w:r>
          </w:p>
          <w:p>
            <w:pPr>
              <w:spacing w:line="340" w:lineRule="exact"/>
              <w:rPr>
                <w:rFonts w:hint="eastAsia" w:ascii="仿宋" w:hAnsi="仿宋" w:eastAsia="仿宋" w:cs="宋体"/>
              </w:rPr>
            </w:pPr>
            <w:r>
              <w:rPr>
                <w:rFonts w:hint="eastAsia" w:ascii="仿宋" w:hAnsi="仿宋" w:eastAsia="仿宋" w:cs="Arial"/>
              </w:rPr>
              <w:t>评价要点：</w:t>
            </w:r>
          </w:p>
          <w:p>
            <w:pPr>
              <w:spacing w:line="340" w:lineRule="exact"/>
              <w:rPr>
                <w:rFonts w:hint="eastAsia" w:ascii="仿宋" w:hAnsi="仿宋" w:eastAsia="仿宋" w:cs="宋体"/>
              </w:rPr>
            </w:pPr>
            <w:r>
              <w:rPr>
                <w:rFonts w:hint="eastAsia" w:ascii="仿宋" w:hAnsi="仿宋" w:eastAsia="仿宋" w:cs="Arial"/>
              </w:rPr>
              <w:t>1.活动目标的设定是可量化的，可通过清晰、可衡量的关键指标值予以体现；</w:t>
            </w:r>
          </w:p>
          <w:p>
            <w:pPr>
              <w:spacing w:line="340" w:lineRule="exact"/>
              <w:rPr>
                <w:rFonts w:hint="eastAsia" w:ascii="仿宋" w:hAnsi="仿宋" w:eastAsia="仿宋" w:cs="宋体"/>
              </w:rPr>
            </w:pPr>
            <w:r>
              <w:rPr>
                <w:rFonts w:hint="eastAsia" w:ascii="仿宋" w:hAnsi="仿宋" w:eastAsia="仿宋" w:cs="Arial"/>
              </w:rPr>
              <w:t>2.在活动目标设定时，将关键指标明细分解为具体的达成目标与工作任务。</w:t>
            </w:r>
          </w:p>
        </w:tc>
        <w:tc>
          <w:tcPr>
            <w:tcW w:w="228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全部符合（1分）；</w:t>
            </w:r>
          </w:p>
          <w:p>
            <w:pPr>
              <w:spacing w:line="340" w:lineRule="exact"/>
              <w:rPr>
                <w:rFonts w:hint="eastAsia" w:ascii="仿宋" w:hAnsi="仿宋" w:eastAsia="仿宋" w:cs="宋体"/>
              </w:rPr>
            </w:pPr>
            <w:r>
              <w:rPr>
                <w:rFonts w:hint="eastAsia" w:ascii="仿宋" w:hAnsi="仿宋" w:eastAsia="仿宋" w:cs="Arial"/>
              </w:rPr>
              <w:t>其中一项不符合（0分）。</w:t>
            </w:r>
          </w:p>
        </w:tc>
        <w:tc>
          <w:tcPr>
            <w:tcW w:w="794" w:type="dxa"/>
            <w:tcBorders>
              <w:top w:val="single" w:color="000000" w:sz="4" w:space="0"/>
              <w:left w:val="nil"/>
              <w:bottom w:val="single" w:color="auto" w:sz="4" w:space="0"/>
              <w:right w:val="single" w:color="000000" w:sz="4" w:space="0"/>
            </w:tcBorders>
            <w:vAlign w:val="center"/>
          </w:tcPr>
          <w:p>
            <w:pPr>
              <w:spacing w:line="340" w:lineRule="exact"/>
              <w:jc w:val="center"/>
              <w:rPr>
                <w:rFonts w:hint="eastAsia" w:ascii="仿宋" w:hAnsi="仿宋" w:eastAsia="仿宋" w:cs="宋体"/>
                <w:sz w:val="24"/>
                <w:szCs w:val="24"/>
              </w:rPr>
            </w:pPr>
            <w:r>
              <w:rPr>
                <w:rFonts w:hint="eastAsia" w:ascii="宋体" w:hAnsi="宋体" w:eastAsia="仿宋" w:cs="Arial"/>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目标覆盖率（1分）</w:t>
            </w:r>
          </w:p>
        </w:tc>
        <w:tc>
          <w:tcPr>
            <w:tcW w:w="453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部门年度申报绩效目标项目资金额与部门项目预算资金总额的比率，用以反映部门落实财政部门绩效目标申报要求的资金覆盖情况。</w:t>
            </w:r>
          </w:p>
          <w:p>
            <w:pPr>
              <w:spacing w:line="340" w:lineRule="exact"/>
              <w:rPr>
                <w:rFonts w:hint="eastAsia" w:ascii="仿宋" w:hAnsi="仿宋" w:eastAsia="仿宋" w:cs="Arial"/>
              </w:rPr>
            </w:pPr>
            <w:r>
              <w:rPr>
                <w:rFonts w:hint="eastAsia" w:ascii="仿宋" w:hAnsi="仿宋" w:eastAsia="仿宋" w:cs="Arial"/>
              </w:rPr>
              <w:t>覆盖率=实际申报绩效目标项目资金总额/部门项目预算资金总额×100%</w:t>
            </w:r>
          </w:p>
        </w:tc>
        <w:tc>
          <w:tcPr>
            <w:tcW w:w="228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达到目标值得1分，未达到目标值</w:t>
            </w:r>
            <w:r>
              <w:rPr>
                <w:rFonts w:hint="eastAsia" w:ascii="仿宋" w:hAnsi="仿宋" w:eastAsia="仿宋" w:cs="宋体"/>
              </w:rPr>
              <w:t>采用完成比率法计分：</w:t>
            </w:r>
            <w:r>
              <w:rPr>
                <w:rFonts w:hint="eastAsia" w:ascii="仿宋" w:hAnsi="仿宋" w:eastAsia="仿宋" w:cs="Arial"/>
              </w:rPr>
              <w:t>得分=覆盖率/目标值×1，超过目标值不加分。</w:t>
            </w:r>
          </w:p>
        </w:tc>
        <w:tc>
          <w:tcPr>
            <w:tcW w:w="794" w:type="dxa"/>
            <w:tcBorders>
              <w:top w:val="single" w:color="000000" w:sz="4" w:space="0"/>
              <w:left w:val="nil"/>
              <w:bottom w:val="single" w:color="auto" w:sz="4" w:space="0"/>
              <w:right w:val="single" w:color="000000" w:sz="4" w:space="0"/>
            </w:tcBorders>
            <w:vAlign w:val="center"/>
          </w:tcPr>
          <w:p>
            <w:pPr>
              <w:spacing w:line="340" w:lineRule="exact"/>
              <w:ind w:firstLine="200" w:firstLineChars="100"/>
              <w:jc w:val="center"/>
              <w:rPr>
                <w:rFonts w:hint="eastAsia" w:ascii="宋体" w:hAnsi="宋体" w:eastAsia="仿宋" w:cs="Arial"/>
                <w:sz w:val="20"/>
                <w:szCs w:val="20"/>
              </w:rPr>
            </w:pPr>
            <w:r>
              <w:rPr>
                <w:rFonts w:hint="eastAsia" w:ascii="宋体" w:hAnsi="宋体" w:eastAsia="仿宋" w:cs="Arial"/>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8"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目标管理创新（1分）</w:t>
            </w:r>
          </w:p>
        </w:tc>
        <w:tc>
          <w:tcPr>
            <w:tcW w:w="453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部门编报整体绩效目标和申报项目绩效目标的数量超过规定的要求。用以反映和考核部门绩效目标管理创新工作情况。</w:t>
            </w:r>
          </w:p>
          <w:p>
            <w:pPr>
              <w:spacing w:line="340" w:lineRule="exact"/>
              <w:rPr>
                <w:rFonts w:hint="eastAsia" w:ascii="仿宋" w:hAnsi="仿宋" w:eastAsia="仿宋" w:cs="Arial"/>
              </w:rPr>
            </w:pPr>
            <w:r>
              <w:rPr>
                <w:rFonts w:hint="eastAsia" w:ascii="仿宋" w:hAnsi="仿宋" w:eastAsia="仿宋" w:cs="Arial"/>
              </w:rPr>
              <w:t>项目绩效目标创新=部门绩效目标编报数量-按财政部门要求的绩效目标填报数量</w:t>
            </w:r>
          </w:p>
        </w:tc>
        <w:tc>
          <w:tcPr>
            <w:tcW w:w="228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每超过1项得0.1分，满分1分。</w:t>
            </w:r>
          </w:p>
        </w:tc>
        <w:tc>
          <w:tcPr>
            <w:tcW w:w="794" w:type="dxa"/>
            <w:tcBorders>
              <w:top w:val="single" w:color="000000" w:sz="4" w:space="0"/>
              <w:left w:val="nil"/>
              <w:bottom w:val="single" w:color="auto" w:sz="4" w:space="0"/>
              <w:right w:val="single" w:color="000000" w:sz="4" w:space="0"/>
            </w:tcBorders>
            <w:vAlign w:val="center"/>
          </w:tcPr>
          <w:p>
            <w:pPr>
              <w:spacing w:line="340" w:lineRule="exact"/>
              <w:jc w:val="center"/>
              <w:rPr>
                <w:rFonts w:hint="eastAsia" w:ascii="宋体" w:hAnsi="宋体" w:eastAsia="仿宋" w:cs="Arial"/>
                <w:sz w:val="20"/>
                <w:szCs w:val="20"/>
              </w:rPr>
            </w:pPr>
            <w:r>
              <w:rPr>
                <w:rFonts w:hint="eastAsia" w:ascii="宋体" w:hAnsi="宋体" w:eastAsia="仿宋" w:cs="Arial"/>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restart"/>
            <w:tcBorders>
              <w:top w:val="nil"/>
              <w:left w:val="single" w:color="000000" w:sz="4" w:space="0"/>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仿宋" w:hAnsi="仿宋" w:eastAsia="仿宋" w:cs="Arial"/>
                <w:sz w:val="24"/>
                <w:szCs w:val="24"/>
              </w:rPr>
              <w:t>预算配置(10分)</w:t>
            </w:r>
          </w:p>
        </w:tc>
        <w:tc>
          <w:tcPr>
            <w:tcW w:w="709" w:type="dxa"/>
            <w:tcBorders>
              <w:top w:val="single" w:color="auto"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财政供养人员控制率（3分）</w:t>
            </w:r>
          </w:p>
        </w:tc>
        <w:tc>
          <w:tcPr>
            <w:tcW w:w="4536" w:type="dxa"/>
            <w:tcBorders>
              <w:top w:val="single" w:color="auto"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部门本年度实际在职人员数与编制数的比率，用以反映和评价部门对人员成本的控制程度。</w:t>
            </w:r>
          </w:p>
          <w:p>
            <w:pPr>
              <w:spacing w:line="340" w:lineRule="exact"/>
              <w:rPr>
                <w:rFonts w:hint="eastAsia" w:ascii="仿宋" w:hAnsi="仿宋" w:eastAsia="仿宋" w:cs="宋体"/>
              </w:rPr>
            </w:pPr>
            <w:r>
              <w:rPr>
                <w:rFonts w:hint="eastAsia" w:ascii="仿宋" w:hAnsi="仿宋" w:eastAsia="仿宋" w:cs="Arial"/>
              </w:rPr>
              <w:t>在职人员控制率=（在职人员数/编制数）×100%。</w:t>
            </w:r>
          </w:p>
          <w:p>
            <w:pPr>
              <w:spacing w:line="340" w:lineRule="exact"/>
              <w:rPr>
                <w:rFonts w:hint="eastAsia" w:ascii="仿宋" w:hAnsi="仿宋" w:eastAsia="仿宋" w:cs="宋体"/>
              </w:rPr>
            </w:pPr>
            <w:r>
              <w:rPr>
                <w:rFonts w:hint="eastAsia" w:ascii="仿宋" w:hAnsi="仿宋" w:eastAsia="仿宋" w:cs="Arial"/>
              </w:rPr>
              <w:t>在职人员数：部门实际在职人数，以财政部确定的部门决算编制口径为准，由编制部门和人劳部门批复同意的临聘人员除外。</w:t>
            </w:r>
          </w:p>
          <w:p>
            <w:pPr>
              <w:spacing w:line="340" w:lineRule="exact"/>
              <w:rPr>
                <w:rFonts w:hint="eastAsia" w:ascii="仿宋" w:hAnsi="仿宋" w:eastAsia="仿宋" w:cs="宋体"/>
              </w:rPr>
            </w:pPr>
            <w:r>
              <w:rPr>
                <w:rFonts w:hint="eastAsia" w:ascii="仿宋" w:hAnsi="仿宋" w:eastAsia="仿宋" w:cs="Arial"/>
              </w:rPr>
              <w:t>编制数：机构编制部门核定批复的部门人员编制数。</w:t>
            </w:r>
          </w:p>
        </w:tc>
        <w:tc>
          <w:tcPr>
            <w:tcW w:w="2286" w:type="dxa"/>
            <w:tcBorders>
              <w:top w:val="single" w:color="auto"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目标值≤100%；达到目标值得3分，每超出1人扣0.1分，扣完为止。</w:t>
            </w:r>
          </w:p>
        </w:tc>
        <w:tc>
          <w:tcPr>
            <w:tcW w:w="794" w:type="dxa"/>
            <w:tcBorders>
              <w:top w:val="single" w:color="auto"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eastAsia="仿宋" w:cs="Arial"/>
                <w:sz w:val="20"/>
                <w:szCs w:val="20"/>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1"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“三公经费”变动率（4分）</w:t>
            </w:r>
          </w:p>
        </w:tc>
        <w:tc>
          <w:tcPr>
            <w:tcW w:w="4536" w:type="dxa"/>
            <w:tcBorders>
              <w:top w:val="single" w:color="auto" w:sz="4" w:space="0"/>
              <w:left w:val="nil"/>
              <w:bottom w:val="single" w:color="000000" w:sz="4" w:space="0"/>
              <w:right w:val="single" w:color="auto" w:sz="4" w:space="0"/>
            </w:tcBorders>
            <w:vAlign w:val="center"/>
          </w:tcPr>
          <w:p>
            <w:pPr>
              <w:spacing w:line="340" w:lineRule="exact"/>
              <w:rPr>
                <w:rFonts w:hint="eastAsia" w:ascii="仿宋" w:hAnsi="仿宋" w:eastAsia="仿宋" w:cs="Arial"/>
                <w:spacing w:val="-2"/>
              </w:rPr>
            </w:pPr>
            <w:r>
              <w:rPr>
                <w:rFonts w:hint="eastAsia" w:ascii="仿宋" w:hAnsi="仿宋" w:eastAsia="仿宋" w:cs="Arial"/>
                <w:spacing w:val="-2"/>
              </w:rPr>
              <w:t>部门本年度“三公经费”预算数与上年度“三公经费”预算数的变动比率，用以反映和考核部门对控制重点行政成本的努力程度。</w:t>
            </w:r>
          </w:p>
          <w:p>
            <w:pPr>
              <w:spacing w:line="340" w:lineRule="exact"/>
              <w:rPr>
                <w:rFonts w:hint="eastAsia" w:ascii="仿宋" w:hAnsi="仿宋" w:eastAsia="仿宋" w:cs="Arial"/>
                <w:spacing w:val="-2"/>
              </w:rPr>
            </w:pPr>
            <w:r>
              <w:rPr>
                <w:rFonts w:hint="eastAsia" w:ascii="仿宋" w:hAnsi="仿宋" w:eastAsia="仿宋" w:cs="Arial"/>
                <w:spacing w:val="-2"/>
              </w:rPr>
              <w:t>“三公经费”变动率=〔（本年度“三公经费”总额-上年度“三公经费”总额）/上年度“三公经费”总额〕×100%</w:t>
            </w:r>
          </w:p>
          <w:p>
            <w:pPr>
              <w:spacing w:line="340" w:lineRule="exact"/>
              <w:rPr>
                <w:rFonts w:hint="eastAsia" w:ascii="仿宋" w:hAnsi="仿宋" w:eastAsia="仿宋" w:cs="Arial"/>
              </w:rPr>
            </w:pPr>
            <w:r>
              <w:rPr>
                <w:rFonts w:hint="eastAsia" w:ascii="仿宋" w:hAnsi="仿宋" w:eastAsia="仿宋" w:cs="Arial"/>
                <w:spacing w:val="-2"/>
              </w:rPr>
              <w:t>“三公经费”：年度预算安排的因公出国（境）费、公务车辆购置及运行费和公务招待费。</w:t>
            </w:r>
          </w:p>
        </w:tc>
        <w:tc>
          <w:tcPr>
            <w:tcW w:w="2286" w:type="dxa"/>
            <w:tcBorders>
              <w:top w:val="single" w:color="auto"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目标值≤0；达到目标值得4分，未达到目标值的采用比率扣分法：扣分值=“三公经费”变动率×4×10，变动率达10%以上的扣4分。</w:t>
            </w:r>
          </w:p>
        </w:tc>
        <w:tc>
          <w:tcPr>
            <w:tcW w:w="794" w:type="dxa"/>
            <w:tcBorders>
              <w:top w:val="single" w:color="auto"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eastAsia="仿宋" w:cs="Arial"/>
                <w:sz w:val="20"/>
                <w:szCs w:val="20"/>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重点支出安排率（3分）</w:t>
            </w:r>
          </w:p>
        </w:tc>
        <w:tc>
          <w:tcPr>
            <w:tcW w:w="4536" w:type="dxa"/>
            <w:tcBorders>
              <w:top w:val="single" w:color="auto"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部门（单位）本年度预算安排的重点项目支出与部门项目总支出的比率，用以反映和考核部门（单位）对履行主要职责或完成重点任务的保障程度。重点支出安排率=（重点项目支出/项目总支出）×100%。</w:t>
            </w:r>
          </w:p>
          <w:p>
            <w:pPr>
              <w:spacing w:line="340" w:lineRule="exact"/>
              <w:rPr>
                <w:rFonts w:hint="eastAsia" w:ascii="仿宋" w:hAnsi="仿宋" w:eastAsia="仿宋" w:cs="Arial"/>
              </w:rPr>
            </w:pPr>
            <w:r>
              <w:rPr>
                <w:rFonts w:hint="eastAsia" w:ascii="仿宋" w:hAnsi="仿宋" w:eastAsia="仿宋" w:cs="Arial"/>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spacing w:line="340" w:lineRule="exact"/>
              <w:rPr>
                <w:rFonts w:hint="eastAsia" w:ascii="仿宋" w:hAnsi="仿宋" w:eastAsia="仿宋" w:cs="Arial"/>
              </w:rPr>
            </w:pPr>
            <w:r>
              <w:rPr>
                <w:rFonts w:hint="eastAsia" w:ascii="仿宋" w:hAnsi="仿宋" w:eastAsia="仿宋" w:cs="Arial"/>
              </w:rPr>
              <w:t>项目总支出：部门（单位）年度预算安排的项目支出总额。</w:t>
            </w:r>
          </w:p>
        </w:tc>
        <w:tc>
          <w:tcPr>
            <w:tcW w:w="2286" w:type="dxa"/>
            <w:tcBorders>
              <w:top w:val="single" w:color="auto"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目标值</w:t>
            </w:r>
            <w:r>
              <w:rPr>
                <w:rFonts w:hint="eastAsia" w:ascii="仿宋" w:hAnsi="仿宋" w:eastAsia="仿宋" w:cs="宋体"/>
              </w:rPr>
              <w:t>≥70%</w:t>
            </w:r>
            <w:r>
              <w:rPr>
                <w:rFonts w:hint="eastAsia" w:ascii="仿宋" w:hAnsi="仿宋" w:eastAsia="仿宋" w:cs="Arial"/>
              </w:rPr>
              <w:t>；以3分为上限，采用完成比率法计分：得分=重点支出安排率/70%×100%×3，超出目标值不加分。</w:t>
            </w:r>
          </w:p>
        </w:tc>
        <w:tc>
          <w:tcPr>
            <w:tcW w:w="794" w:type="dxa"/>
            <w:tcBorders>
              <w:top w:val="single" w:color="auto" w:sz="4" w:space="0"/>
              <w:left w:val="nil"/>
              <w:bottom w:val="single" w:color="000000" w:sz="4" w:space="0"/>
              <w:right w:val="single" w:color="000000" w:sz="4" w:space="0"/>
            </w:tcBorders>
            <w:vAlign w:val="center"/>
          </w:tcPr>
          <w:p>
            <w:pPr>
              <w:spacing w:line="340" w:lineRule="exact"/>
              <w:ind w:firstLine="100" w:firstLineChars="50"/>
              <w:rPr>
                <w:rFonts w:hint="eastAsia" w:ascii="宋体" w:hAnsi="宋体" w:eastAsia="仿宋" w:cs="Arial"/>
                <w:sz w:val="20"/>
                <w:szCs w:val="20"/>
              </w:rPr>
            </w:pPr>
            <w:r>
              <w:rPr>
                <w:rFonts w:hint="eastAsia" w:ascii="宋体" w:hAnsi="宋体" w:cs="Arial"/>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769" w:type="dxa"/>
            <w:vMerge w:val="restart"/>
            <w:tcBorders>
              <w:top w:val="nil"/>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r>
              <w:rPr>
                <w:rFonts w:hint="eastAsia" w:ascii="仿宋" w:hAnsi="仿宋" w:eastAsia="仿宋" w:cs="Arial"/>
                <w:sz w:val="24"/>
                <w:szCs w:val="24"/>
              </w:rPr>
              <w:t>过程(55分)</w:t>
            </w: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jc w:val="center"/>
              <w:rPr>
                <w:rFonts w:hint="eastAsia" w:ascii="仿宋" w:hAnsi="仿宋" w:eastAsia="仿宋" w:cs="Arial"/>
                <w:sz w:val="24"/>
                <w:szCs w:val="24"/>
              </w:rPr>
            </w:pPr>
          </w:p>
          <w:p>
            <w:pPr>
              <w:spacing w:line="340" w:lineRule="exact"/>
              <w:rPr>
                <w:rFonts w:hint="eastAsia" w:ascii="仿宋" w:hAnsi="仿宋" w:eastAsia="仿宋" w:cs="宋体"/>
                <w:sz w:val="24"/>
                <w:szCs w:val="24"/>
              </w:rPr>
            </w:pPr>
          </w:p>
          <w:p>
            <w:pPr>
              <w:spacing w:line="340" w:lineRule="exact"/>
              <w:rPr>
                <w:rFonts w:hint="eastAsia" w:ascii="仿宋" w:hAnsi="仿宋" w:eastAsia="仿宋" w:cs="宋体"/>
                <w:sz w:val="24"/>
                <w:szCs w:val="24"/>
              </w:rPr>
            </w:pPr>
          </w:p>
          <w:p>
            <w:pPr>
              <w:spacing w:line="340" w:lineRule="exact"/>
              <w:rPr>
                <w:rFonts w:hint="eastAsia" w:ascii="仿宋" w:hAnsi="仿宋" w:eastAsia="仿宋" w:cs="宋体"/>
                <w:sz w:val="24"/>
                <w:szCs w:val="24"/>
              </w:rPr>
            </w:pPr>
          </w:p>
          <w:p>
            <w:pPr>
              <w:spacing w:line="340" w:lineRule="exact"/>
              <w:rPr>
                <w:rFonts w:hint="eastAsia" w:ascii="仿宋" w:hAnsi="仿宋" w:eastAsia="仿宋" w:cs="宋体"/>
                <w:sz w:val="24"/>
                <w:szCs w:val="24"/>
              </w:rPr>
            </w:pPr>
          </w:p>
          <w:p>
            <w:pPr>
              <w:spacing w:line="340" w:lineRule="exact"/>
              <w:rPr>
                <w:rFonts w:hint="eastAsia" w:ascii="仿宋" w:hAnsi="仿宋" w:eastAsia="仿宋" w:cs="宋体"/>
                <w:sz w:val="24"/>
                <w:szCs w:val="24"/>
              </w:rPr>
            </w:pPr>
          </w:p>
          <w:p>
            <w:pPr>
              <w:spacing w:line="340" w:lineRule="exact"/>
              <w:jc w:val="center"/>
              <w:rPr>
                <w:rFonts w:hint="eastAsia" w:ascii="仿宋" w:hAnsi="仿宋" w:eastAsia="仿宋" w:cs="宋体"/>
                <w:sz w:val="24"/>
                <w:szCs w:val="24"/>
              </w:rPr>
            </w:pPr>
          </w:p>
        </w:tc>
        <w:tc>
          <w:tcPr>
            <w:tcW w:w="880" w:type="dxa"/>
            <w:vMerge w:val="restart"/>
            <w:tcBorders>
              <w:top w:val="nil"/>
              <w:left w:val="single" w:color="000000" w:sz="4" w:space="0"/>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仿宋" w:hAnsi="仿宋" w:eastAsia="仿宋" w:cs="Arial"/>
                <w:sz w:val="24"/>
                <w:szCs w:val="24"/>
              </w:rPr>
              <w:t>预算执行(27分)</w:t>
            </w: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预算完成率（3分）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通过对部门本年度预算完成数与预算数的比较，反映和评价部门预算的完成程度。</w:t>
            </w:r>
          </w:p>
          <w:p>
            <w:pPr>
              <w:spacing w:line="340" w:lineRule="exact"/>
              <w:rPr>
                <w:rFonts w:hint="eastAsia" w:ascii="仿宋" w:hAnsi="仿宋" w:eastAsia="仿宋" w:cs="宋体"/>
              </w:rPr>
            </w:pPr>
            <w:r>
              <w:rPr>
                <w:rFonts w:hint="eastAsia" w:ascii="仿宋" w:hAnsi="仿宋" w:eastAsia="仿宋" w:cs="Arial"/>
              </w:rPr>
              <w:t>预算完成率=（预算完成数/预算数）×100%。</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宋体"/>
              </w:rPr>
              <w:t>目标值≥100%；</w:t>
            </w:r>
          </w:p>
          <w:p>
            <w:pPr>
              <w:spacing w:line="340" w:lineRule="exact"/>
              <w:rPr>
                <w:rFonts w:hint="eastAsia" w:ascii="仿宋" w:hAnsi="仿宋" w:eastAsia="仿宋" w:cs="宋体"/>
              </w:rPr>
            </w:pPr>
            <w:r>
              <w:rPr>
                <w:rFonts w:hint="eastAsia" w:ascii="仿宋" w:hAnsi="仿宋" w:eastAsia="仿宋" w:cs="宋体"/>
              </w:rPr>
              <w:t>达到目标值的得3分；</w:t>
            </w:r>
          </w:p>
          <w:p>
            <w:pPr>
              <w:spacing w:line="340" w:lineRule="exact"/>
              <w:rPr>
                <w:rFonts w:hint="eastAsia" w:ascii="仿宋" w:hAnsi="仿宋" w:eastAsia="仿宋" w:cs="宋体"/>
              </w:rPr>
            </w:pPr>
            <w:r>
              <w:rPr>
                <w:rFonts w:hint="eastAsia" w:ascii="仿宋" w:hAnsi="仿宋" w:eastAsia="仿宋" w:cs="宋体"/>
              </w:rPr>
              <w:t>100%＞结果≥90%，得3分；</w:t>
            </w:r>
          </w:p>
          <w:p>
            <w:pPr>
              <w:spacing w:line="340" w:lineRule="exact"/>
              <w:rPr>
                <w:rFonts w:hint="eastAsia" w:ascii="仿宋" w:hAnsi="仿宋" w:eastAsia="仿宋" w:cs="宋体"/>
              </w:rPr>
            </w:pPr>
            <w:r>
              <w:rPr>
                <w:rFonts w:hint="eastAsia" w:ascii="仿宋" w:hAnsi="仿宋" w:eastAsia="仿宋" w:cs="宋体"/>
              </w:rPr>
              <w:t>90%＞结果≥80%，得1分；</w:t>
            </w:r>
          </w:p>
          <w:p>
            <w:pPr>
              <w:spacing w:line="340" w:lineRule="exact"/>
              <w:rPr>
                <w:rFonts w:hint="eastAsia" w:ascii="仿宋" w:hAnsi="仿宋" w:eastAsia="仿宋" w:cs="宋体"/>
              </w:rPr>
            </w:pPr>
            <w:r>
              <w:rPr>
                <w:rFonts w:hint="eastAsia" w:ascii="仿宋" w:hAnsi="仿宋" w:eastAsia="仿宋" w:cs="Arial"/>
              </w:rPr>
              <w:t>结果＜</w:t>
            </w:r>
            <w:r>
              <w:rPr>
                <w:rFonts w:hint="eastAsia" w:ascii="仿宋" w:hAnsi="仿宋" w:eastAsia="仿宋" w:cs="宋体"/>
              </w:rPr>
              <w:t>80%得0分。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eastAsia="仿宋" w:cs="Arial"/>
                <w:sz w:val="20"/>
                <w:szCs w:val="20"/>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预算调整率（3分）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部门本年度预算调整数与预算数的比率，用以反映和评价部门预算的调整程度。</w:t>
            </w:r>
          </w:p>
          <w:p>
            <w:pPr>
              <w:spacing w:line="340" w:lineRule="exact"/>
              <w:rPr>
                <w:rFonts w:hint="eastAsia" w:ascii="仿宋" w:hAnsi="仿宋" w:eastAsia="仿宋" w:cs="宋体"/>
              </w:rPr>
            </w:pPr>
            <w:r>
              <w:rPr>
                <w:rFonts w:hint="eastAsia" w:ascii="仿宋" w:hAnsi="仿宋" w:eastAsia="仿宋" w:cs="Arial"/>
              </w:rPr>
              <w:t>预算调整率=（预算调整数/预算数）×100%。</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宋体"/>
              </w:rPr>
              <w:t>目标值为10%；达到目标值得3分，未达到目标值的每增加0.1个百分点扣0.1分，扣完为止。</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eastAsia="仿宋" w:cs="Arial"/>
                <w:sz w:val="20"/>
                <w:szCs w:val="20"/>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color w:val="000000"/>
              </w:rPr>
              <w:t>支付进度率</w:t>
            </w:r>
            <w:r>
              <w:rPr>
                <w:rFonts w:hint="eastAsia" w:ascii="仿宋" w:hAnsi="仿宋" w:eastAsia="仿宋" w:cs="Arial"/>
              </w:rPr>
              <w:t>（6分）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部门年度支付数与年度预算（调整）数的比率，用以反映和评价部门预算执行的及时和均衡程度。</w:t>
            </w:r>
          </w:p>
          <w:p>
            <w:pPr>
              <w:spacing w:line="340" w:lineRule="exact"/>
              <w:rPr>
                <w:rFonts w:hint="eastAsia" w:ascii="仿宋" w:hAnsi="仿宋" w:eastAsia="仿宋" w:cs="宋体"/>
              </w:rPr>
            </w:pPr>
            <w:r>
              <w:rPr>
                <w:rFonts w:hint="eastAsia" w:ascii="仿宋" w:hAnsi="仿宋" w:eastAsia="仿宋" w:cs="宋体"/>
              </w:rPr>
              <w:t>半年支付进度=部门上半年实际支出÷（上年结余结转+本年部门预算安排+上半年执行中追加追减）×100%</w:t>
            </w:r>
          </w:p>
          <w:p>
            <w:pPr>
              <w:spacing w:line="340" w:lineRule="exact"/>
              <w:rPr>
                <w:rFonts w:hint="eastAsia" w:ascii="仿宋" w:hAnsi="仿宋" w:eastAsia="仿宋" w:cs="宋体"/>
              </w:rPr>
            </w:pPr>
            <w:r>
              <w:rPr>
                <w:rFonts w:hint="eastAsia" w:ascii="仿宋" w:hAnsi="仿宋" w:eastAsia="仿宋" w:cs="宋体"/>
              </w:rPr>
              <w:t>全年支付进度=部门全年实际支出÷（上年结余结转+本年部门预算安排+全年执行中追加追减）×100%</w:t>
            </w:r>
          </w:p>
        </w:tc>
        <w:tc>
          <w:tcPr>
            <w:tcW w:w="2286" w:type="dxa"/>
            <w:tcBorders>
              <w:top w:val="single" w:color="000000" w:sz="4" w:space="0"/>
              <w:left w:val="nil"/>
              <w:bottom w:val="single" w:color="000000" w:sz="4" w:space="0"/>
              <w:right w:val="single" w:color="auto" w:sz="4" w:space="0"/>
            </w:tcBorders>
            <w:vAlign w:val="center"/>
          </w:tcPr>
          <w:p>
            <w:pPr>
              <w:spacing w:line="300" w:lineRule="exact"/>
              <w:rPr>
                <w:rFonts w:hint="eastAsia" w:ascii="仿宋" w:hAnsi="仿宋" w:eastAsia="仿宋" w:cs="Arial"/>
              </w:rPr>
            </w:pPr>
            <w:r>
              <w:rPr>
                <w:rFonts w:hint="eastAsia" w:ascii="仿宋" w:hAnsi="仿宋" w:eastAsia="仿宋" w:cs="Arial"/>
              </w:rPr>
              <w:t>半年进度：结果≥50%，得2分；50%＞结果≥40%，得1分；结果＜40%，得0分。</w:t>
            </w:r>
          </w:p>
          <w:p>
            <w:pPr>
              <w:spacing w:line="300" w:lineRule="exact"/>
              <w:rPr>
                <w:rFonts w:hint="eastAsia" w:ascii="仿宋" w:hAnsi="仿宋" w:eastAsia="仿宋" w:cs="宋体"/>
              </w:rPr>
            </w:pPr>
            <w:r>
              <w:rPr>
                <w:rFonts w:hint="eastAsia" w:ascii="仿宋" w:hAnsi="仿宋" w:eastAsia="仿宋" w:cs="宋体"/>
              </w:rPr>
              <w:t>全年进度：结果≥100%，得4分；100%＞结果≥95%，得3分；95%＞结果≥90%，得2分；90%＞结果≥85%，得2分；结果＜85%，得0分。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lang w:eastAsia="zh-CN"/>
              </w:rPr>
            </w:pPr>
            <w:r>
              <w:rPr>
                <w:rFonts w:hint="eastAsia" w:ascii="宋体" w:hAnsi="宋体" w:eastAsia="仿宋" w:cs="Arial"/>
                <w:sz w:val="20"/>
                <w:szCs w:val="20"/>
              </w:rPr>
              <w:t> </w:t>
            </w:r>
            <w:r>
              <w:rPr>
                <w:rFonts w:hint="eastAsia" w:ascii="宋体" w:hAnsi="宋体" w:eastAsia="仿宋" w:cs="Arial"/>
                <w:sz w:val="20"/>
                <w:szCs w:val="2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结转结余率（3分）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通过对部门本年度结转结余总额与支出预算数的比较，反映和评价部门对本年度结转结余资金的实际控制程度。</w:t>
            </w:r>
          </w:p>
          <w:p>
            <w:pPr>
              <w:spacing w:line="340" w:lineRule="exact"/>
              <w:rPr>
                <w:rFonts w:hint="eastAsia" w:ascii="仿宋" w:hAnsi="仿宋" w:eastAsia="仿宋" w:cs="宋体"/>
              </w:rPr>
            </w:pPr>
            <w:r>
              <w:rPr>
                <w:rFonts w:hint="eastAsia" w:ascii="仿宋" w:hAnsi="仿宋" w:eastAsia="仿宋" w:cs="Arial"/>
              </w:rPr>
              <w:t>结转结余率=（结转结余总额/支出预算数）×100%。</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宋体"/>
              </w:rPr>
              <w:t>目标值为0；达到目标值得3分，未达到目标值的每增加0.1个百分点扣0.1分，扣完为止。</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lang w:eastAsia="zh-CN"/>
              </w:rPr>
            </w:pPr>
            <w:r>
              <w:rPr>
                <w:rFonts w:hint="eastAsia" w:ascii="宋体" w:hAnsi="宋体" w:eastAsia="仿宋" w:cs="Arial"/>
                <w:sz w:val="20"/>
                <w:szCs w:val="20"/>
              </w:rPr>
              <w:t> </w:t>
            </w:r>
            <w:r>
              <w:rPr>
                <w:rFonts w:hint="eastAsia" w:ascii="宋体" w:hAnsi="宋体" w:eastAsia="仿宋" w:cs="Arial"/>
                <w:sz w:val="20"/>
                <w:szCs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结转结余变动率(3分）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部门本年度结转结余资金总额与上年度结转结余资金总额的变动比率，用以反映和考核部门对控制结转结余资金的努力程度。</w:t>
            </w:r>
          </w:p>
          <w:p>
            <w:pPr>
              <w:spacing w:line="340" w:lineRule="exact"/>
              <w:rPr>
                <w:rFonts w:hint="eastAsia" w:ascii="仿宋" w:hAnsi="仿宋" w:eastAsia="仿宋" w:cs="Arial"/>
              </w:rPr>
            </w:pPr>
            <w:r>
              <w:rPr>
                <w:rFonts w:hint="eastAsia" w:ascii="仿宋" w:hAnsi="仿宋" w:eastAsia="仿宋" w:cs="Arial"/>
              </w:rPr>
              <w:t>结转结余变动率=〔（本年度累计结转结余资金总额-上年度累计结转结余资金总额）/上年度累计结转结余资金总额〕×100%。</w:t>
            </w:r>
          </w:p>
        </w:tc>
        <w:tc>
          <w:tcPr>
            <w:tcW w:w="2286" w:type="dxa"/>
            <w:tcBorders>
              <w:top w:val="single" w:color="000000" w:sz="4" w:space="0"/>
              <w:left w:val="nil"/>
              <w:bottom w:val="single" w:color="000000"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宋体"/>
              </w:rPr>
              <w:t>目标值为≤0%；达到目标值得3分，未达到目标值的采用比率扣分法：扣分值=结转结余变动率×2×10，变动率达10%以上的扣2分。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ind w:firstLine="200" w:firstLineChars="100"/>
              <w:rPr>
                <w:rFonts w:hint="eastAsia" w:ascii="宋体" w:hAnsi="宋体" w:eastAsia="仿宋" w:cs="Arial"/>
                <w:sz w:val="20"/>
                <w:szCs w:val="20"/>
              </w:rPr>
            </w:pPr>
            <w:r>
              <w:rPr>
                <w:rFonts w:hint="eastAsia" w:ascii="宋体" w:hAnsi="宋体" w:eastAsia="仿宋" w:cs="Arial"/>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公用经费控制率（3分）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通过对部门本年度实际支出的公用经费总额与预算安排的公用经费总额的比率，反映和评价部门对机构运转成本的实际控制程度。</w:t>
            </w:r>
          </w:p>
          <w:p>
            <w:pPr>
              <w:spacing w:line="340" w:lineRule="exact"/>
              <w:rPr>
                <w:rFonts w:hint="eastAsia" w:ascii="仿宋" w:hAnsi="仿宋" w:eastAsia="仿宋" w:cs="宋体"/>
              </w:rPr>
            </w:pPr>
            <w:r>
              <w:rPr>
                <w:rFonts w:hint="eastAsia" w:ascii="仿宋" w:hAnsi="仿宋" w:eastAsia="仿宋" w:cs="Arial"/>
              </w:rPr>
              <w:t>公用经费控制率=（实际支出公用经费总额/预算安排公用经费总额）×100%。</w:t>
            </w:r>
          </w:p>
        </w:tc>
        <w:tc>
          <w:tcPr>
            <w:tcW w:w="2286" w:type="dxa"/>
            <w:tcBorders>
              <w:top w:val="single" w:color="000000" w:sz="4" w:space="0"/>
              <w:left w:val="nil"/>
              <w:bottom w:val="single" w:color="000000"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宋体"/>
              </w:rPr>
              <w:t>目标值为≤100%；达到目标值得3分，未达到目标值的每增加0.1个百分点扣0.1分，扣完为止。</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lang w:eastAsia="zh-CN"/>
              </w:rPr>
            </w:pPr>
            <w:r>
              <w:rPr>
                <w:rFonts w:hint="eastAsia" w:ascii="宋体" w:hAnsi="宋体" w:eastAsia="仿宋" w:cs="Arial"/>
                <w:sz w:val="20"/>
                <w:szCs w:val="20"/>
              </w:rPr>
              <w:t> </w:t>
            </w:r>
            <w:r>
              <w:rPr>
                <w:rFonts w:hint="eastAsia" w:ascii="宋体" w:hAnsi="宋体" w:eastAsia="仿宋" w:cs="Arial"/>
                <w:sz w:val="20"/>
                <w:szCs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“三公经费”控制率（3分）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部门（单位）本年度“三公经费”实际支出数与预算安排数的比率，用以反映和考核部门（单位）对“三公经费”的实际控制程度。</w:t>
            </w:r>
          </w:p>
          <w:p>
            <w:pPr>
              <w:spacing w:line="340" w:lineRule="exact"/>
              <w:rPr>
                <w:rFonts w:hint="eastAsia" w:ascii="仿宋" w:hAnsi="仿宋" w:eastAsia="仿宋" w:cs="Arial"/>
              </w:rPr>
            </w:pPr>
            <w:r>
              <w:rPr>
                <w:rFonts w:hint="eastAsia" w:ascii="仿宋" w:hAnsi="仿宋" w:eastAsia="仿宋" w:cs="Arial"/>
              </w:rPr>
              <w:t>“三公经费”控制率=（“三公经费”实际支出/“三公经费”预算安排数）×100%</w:t>
            </w:r>
          </w:p>
        </w:tc>
        <w:tc>
          <w:tcPr>
            <w:tcW w:w="2286" w:type="dxa"/>
            <w:tcBorders>
              <w:top w:val="single" w:color="000000" w:sz="4" w:space="0"/>
              <w:left w:val="nil"/>
              <w:bottom w:val="single" w:color="000000"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宋体"/>
              </w:rPr>
              <w:t>目标值为≤100%；达到目标值得3分，未达到目标值的每增加0.1个百分点扣0.1分，扣完为止。</w:t>
            </w:r>
          </w:p>
        </w:tc>
        <w:tc>
          <w:tcPr>
            <w:tcW w:w="794" w:type="dxa"/>
            <w:tcBorders>
              <w:top w:val="single" w:color="000000" w:sz="4" w:space="0"/>
              <w:left w:val="nil"/>
              <w:bottom w:val="single" w:color="000000" w:sz="4" w:space="0"/>
              <w:right w:val="single" w:color="000000" w:sz="4" w:space="0"/>
            </w:tcBorders>
            <w:vAlign w:val="center"/>
          </w:tcPr>
          <w:p>
            <w:pPr>
              <w:spacing w:line="340" w:lineRule="exact"/>
              <w:ind w:firstLine="200" w:firstLineChars="100"/>
              <w:rPr>
                <w:rFonts w:hint="eastAsia" w:ascii="宋体" w:hAnsi="宋体" w:eastAsia="仿宋" w:cs="Arial"/>
                <w:sz w:val="20"/>
                <w:szCs w:val="20"/>
              </w:rPr>
            </w:pPr>
            <w:r>
              <w:rPr>
                <w:rFonts w:hint="eastAsia" w:ascii="宋体" w:hAnsi="宋体" w:eastAsia="仿宋" w:cs="Arial"/>
                <w:sz w:val="20"/>
                <w:szCs w:val="20"/>
              </w:rPr>
              <w:t>3</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政府采购执行率（3分）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通过对部门本年度实际政府采购预算项目个数与政府采购预算项目个数的比较，反映和评价部门政府采购预算执行情况。</w:t>
            </w:r>
          </w:p>
          <w:p>
            <w:pPr>
              <w:spacing w:line="340" w:lineRule="exact"/>
              <w:rPr>
                <w:rFonts w:hint="eastAsia" w:ascii="仿宋" w:hAnsi="仿宋" w:eastAsia="仿宋" w:cs="宋体"/>
              </w:rPr>
            </w:pPr>
            <w:r>
              <w:rPr>
                <w:rFonts w:hint="eastAsia" w:ascii="仿宋" w:hAnsi="仿宋" w:eastAsia="仿宋" w:cs="Arial"/>
              </w:rPr>
              <w:t>政府采购执行率=（实际政府采购预算项目个数/政府采购预算项目个数）×100%。</w:t>
            </w:r>
          </w:p>
          <w:p>
            <w:pPr>
              <w:spacing w:line="340" w:lineRule="exact"/>
              <w:rPr>
                <w:rFonts w:hint="eastAsia" w:ascii="仿宋" w:hAnsi="仿宋" w:eastAsia="仿宋" w:cs="宋体"/>
              </w:rPr>
            </w:pPr>
            <w:r>
              <w:rPr>
                <w:rFonts w:hint="eastAsia" w:ascii="仿宋" w:hAnsi="仿宋" w:eastAsia="仿宋" w:cs="Arial"/>
              </w:rPr>
              <w:t>政府采购项目中非预算内安排的项目除外。</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宋体"/>
              </w:rPr>
              <w:t>目标值为100%；以3分为上限，采用完成比率法计分：得分=政府采购执行率×3。</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eastAsia="仿宋" w:cs="Arial"/>
                <w:sz w:val="20"/>
                <w:szCs w:val="20"/>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restart"/>
            <w:tcBorders>
              <w:top w:val="nil"/>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宋体"/>
                <w:sz w:val="24"/>
                <w:szCs w:val="24"/>
              </w:rPr>
            </w:pPr>
            <w:r>
              <w:rPr>
                <w:rFonts w:hint="eastAsia" w:ascii="仿宋" w:hAnsi="仿宋" w:eastAsia="仿宋" w:cs="Arial"/>
                <w:sz w:val="24"/>
                <w:szCs w:val="24"/>
              </w:rPr>
              <w:t>预算管理</w:t>
            </w:r>
          </w:p>
          <w:p>
            <w:pPr>
              <w:spacing w:line="340" w:lineRule="exact"/>
              <w:jc w:val="center"/>
              <w:rPr>
                <w:rFonts w:hint="eastAsia" w:ascii="仿宋" w:hAnsi="仿宋" w:eastAsia="仿宋" w:cs="宋体"/>
                <w:sz w:val="24"/>
                <w:szCs w:val="24"/>
              </w:rPr>
            </w:pPr>
            <w:r>
              <w:rPr>
                <w:rFonts w:hint="eastAsia" w:ascii="仿宋" w:hAnsi="仿宋" w:eastAsia="仿宋" w:cs="Arial"/>
                <w:sz w:val="24"/>
                <w:szCs w:val="24"/>
              </w:rPr>
              <w:t>（18分）</w:t>
            </w: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管理制度健全性</w:t>
            </w:r>
          </w:p>
          <w:p>
            <w:pPr>
              <w:spacing w:line="340" w:lineRule="exact"/>
              <w:rPr>
                <w:rFonts w:hint="eastAsia" w:ascii="仿宋" w:hAnsi="仿宋" w:eastAsia="仿宋" w:cs="Arial"/>
              </w:rPr>
            </w:pPr>
            <w:r>
              <w:rPr>
                <w:rFonts w:hint="eastAsia" w:ascii="仿宋" w:hAnsi="仿宋" w:eastAsia="仿宋" w:cs="Arial"/>
              </w:rPr>
              <w:t>（2分）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部门为加强预算管理，规范财务行为而制定的管理制度是否健全完整，用以反映和考核部门预算管理制度对完成主要职责或促进事业发展的保障情况。</w:t>
            </w:r>
          </w:p>
          <w:p>
            <w:pPr>
              <w:spacing w:line="340" w:lineRule="exact"/>
              <w:rPr>
                <w:rFonts w:hint="eastAsia" w:ascii="仿宋" w:hAnsi="仿宋" w:eastAsia="仿宋" w:cs="Arial"/>
              </w:rPr>
            </w:pPr>
            <w:r>
              <w:rPr>
                <w:rFonts w:hint="eastAsia" w:ascii="仿宋" w:hAnsi="仿宋" w:eastAsia="仿宋" w:cs="Arial"/>
              </w:rPr>
              <w:t>评价要点：</w:t>
            </w:r>
          </w:p>
          <w:p>
            <w:pPr>
              <w:spacing w:line="340" w:lineRule="exact"/>
              <w:rPr>
                <w:rFonts w:hint="eastAsia" w:ascii="仿宋" w:hAnsi="仿宋" w:eastAsia="仿宋" w:cs="Arial"/>
              </w:rPr>
            </w:pPr>
            <w:r>
              <w:rPr>
                <w:rFonts w:hint="eastAsia" w:ascii="仿宋" w:hAnsi="仿宋" w:eastAsia="仿宋" w:cs="Arial"/>
              </w:rPr>
              <w:t>1．是否已制定或具有预算资金管理办法、内部财务管理制度、会计核算制度等管理制度；</w:t>
            </w:r>
          </w:p>
          <w:p>
            <w:pPr>
              <w:spacing w:line="340" w:lineRule="exact"/>
              <w:rPr>
                <w:rFonts w:hint="eastAsia" w:ascii="仿宋" w:hAnsi="仿宋" w:eastAsia="仿宋" w:cs="Arial"/>
              </w:rPr>
            </w:pPr>
            <w:r>
              <w:rPr>
                <w:rFonts w:hint="eastAsia" w:ascii="仿宋" w:hAnsi="仿宋" w:eastAsia="仿宋" w:cs="Arial"/>
              </w:rPr>
              <w:t>2.相关管理制度是否合法、合规、完整；</w:t>
            </w:r>
          </w:p>
          <w:p>
            <w:pPr>
              <w:spacing w:line="340" w:lineRule="exact"/>
              <w:rPr>
                <w:rFonts w:hint="eastAsia" w:ascii="仿宋" w:hAnsi="仿宋" w:eastAsia="仿宋" w:cs="Arial"/>
              </w:rPr>
            </w:pPr>
            <w:r>
              <w:rPr>
                <w:rFonts w:hint="eastAsia" w:ascii="仿宋" w:hAnsi="仿宋" w:eastAsia="仿宋" w:cs="Arial"/>
              </w:rPr>
              <w:t>3.相关管理制度是否得到有效执行。</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全部符合（2分）；</w:t>
            </w:r>
          </w:p>
          <w:p>
            <w:pPr>
              <w:spacing w:line="340" w:lineRule="exact"/>
              <w:rPr>
                <w:rFonts w:hint="eastAsia" w:ascii="仿宋" w:hAnsi="仿宋" w:eastAsia="仿宋" w:cs="宋体"/>
              </w:rPr>
            </w:pPr>
            <w:r>
              <w:rPr>
                <w:rFonts w:hint="eastAsia" w:ascii="仿宋" w:hAnsi="仿宋" w:eastAsia="仿宋" w:cs="Arial"/>
              </w:rPr>
              <w:t>符合其中两项（1分）</w:t>
            </w:r>
          </w:p>
          <w:p>
            <w:pPr>
              <w:spacing w:line="340" w:lineRule="exact"/>
              <w:rPr>
                <w:rFonts w:hint="eastAsia" w:ascii="仿宋" w:hAnsi="仿宋" w:eastAsia="仿宋" w:cs="宋体"/>
              </w:rPr>
            </w:pPr>
            <w:r>
              <w:rPr>
                <w:rFonts w:hint="eastAsia" w:ascii="仿宋" w:hAnsi="仿宋" w:eastAsia="仿宋" w:cs="Arial"/>
              </w:rPr>
              <w:t>符合其中一项及以下（0分）。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ind w:firstLine="200" w:firstLineChars="100"/>
              <w:rPr>
                <w:rFonts w:hint="eastAsia" w:ascii="宋体" w:hAnsi="宋体" w:eastAsia="仿宋" w:cs="Arial"/>
                <w:sz w:val="20"/>
                <w:szCs w:val="20"/>
              </w:rPr>
            </w:pPr>
            <w:r>
              <w:rPr>
                <w:rFonts w:hint="eastAsia" w:ascii="宋体" w:hAnsi="宋体" w:eastAsia="仿宋" w:cs="Arial"/>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资金使用合规性</w:t>
            </w:r>
          </w:p>
          <w:p>
            <w:pPr>
              <w:spacing w:line="340" w:lineRule="exact"/>
              <w:rPr>
                <w:rFonts w:hint="eastAsia" w:ascii="仿宋" w:hAnsi="仿宋" w:eastAsia="仿宋" w:cs="宋体"/>
              </w:rPr>
            </w:pPr>
            <w:r>
              <w:rPr>
                <w:rFonts w:hint="eastAsia" w:ascii="仿宋" w:hAnsi="仿宋" w:eastAsia="仿宋" w:cs="Arial"/>
              </w:rPr>
              <w:t>（9分）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部门使用预算资金是否符合相关的预算财务管理制度的规定，反映和评价部门预算资金的规范运行情况。</w:t>
            </w:r>
          </w:p>
          <w:p>
            <w:pPr>
              <w:spacing w:line="340" w:lineRule="exact"/>
              <w:rPr>
                <w:rFonts w:hint="eastAsia" w:ascii="仿宋" w:hAnsi="仿宋" w:eastAsia="仿宋" w:cs="宋体"/>
              </w:rPr>
            </w:pPr>
            <w:r>
              <w:rPr>
                <w:rFonts w:hint="eastAsia" w:ascii="仿宋" w:hAnsi="仿宋" w:eastAsia="仿宋" w:cs="Arial"/>
              </w:rPr>
              <w:t>评价要点：</w:t>
            </w:r>
          </w:p>
          <w:p>
            <w:pPr>
              <w:spacing w:line="340" w:lineRule="exact"/>
              <w:rPr>
                <w:rFonts w:hint="eastAsia" w:ascii="仿宋" w:hAnsi="仿宋" w:eastAsia="仿宋" w:cs="宋体"/>
              </w:rPr>
            </w:pPr>
            <w:r>
              <w:rPr>
                <w:rFonts w:hint="eastAsia" w:ascii="仿宋" w:hAnsi="仿宋" w:eastAsia="仿宋" w:cs="Arial"/>
              </w:rPr>
              <w:t>1.符合国家财经法规和财务管理制度规定以及有关部门资金管理办法的规定；</w:t>
            </w:r>
          </w:p>
          <w:p>
            <w:pPr>
              <w:spacing w:line="340" w:lineRule="exact"/>
              <w:rPr>
                <w:rFonts w:hint="eastAsia" w:ascii="仿宋" w:hAnsi="仿宋" w:eastAsia="仿宋" w:cs="宋体"/>
              </w:rPr>
            </w:pPr>
            <w:r>
              <w:rPr>
                <w:rFonts w:hint="eastAsia" w:ascii="仿宋" w:hAnsi="仿宋" w:eastAsia="仿宋" w:cs="Arial"/>
              </w:rPr>
              <w:t>2.资金的拨付有完整的审批过程和手续；</w:t>
            </w:r>
          </w:p>
          <w:p>
            <w:pPr>
              <w:spacing w:line="340" w:lineRule="exact"/>
              <w:rPr>
                <w:rFonts w:hint="eastAsia" w:ascii="仿宋" w:hAnsi="仿宋" w:eastAsia="仿宋" w:cs="宋体"/>
              </w:rPr>
            </w:pPr>
            <w:r>
              <w:rPr>
                <w:rFonts w:hint="eastAsia" w:ascii="仿宋" w:hAnsi="仿宋" w:eastAsia="仿宋" w:cs="Arial"/>
              </w:rPr>
              <w:t>3.项目的重大开支经过评估论证；</w:t>
            </w:r>
          </w:p>
          <w:p>
            <w:pPr>
              <w:spacing w:line="340" w:lineRule="exact"/>
              <w:rPr>
                <w:rFonts w:hint="eastAsia" w:ascii="仿宋" w:hAnsi="仿宋" w:eastAsia="仿宋" w:cs="宋体"/>
              </w:rPr>
            </w:pPr>
            <w:r>
              <w:rPr>
                <w:rFonts w:hint="eastAsia" w:ascii="仿宋" w:hAnsi="仿宋" w:eastAsia="仿宋" w:cs="Arial"/>
              </w:rPr>
              <w:t>4.符合部门预算批复的用途；</w:t>
            </w:r>
          </w:p>
          <w:p>
            <w:pPr>
              <w:spacing w:line="340" w:lineRule="exact"/>
              <w:rPr>
                <w:rFonts w:hint="eastAsia" w:ascii="仿宋" w:hAnsi="仿宋" w:eastAsia="仿宋" w:cs="宋体"/>
              </w:rPr>
            </w:pPr>
            <w:r>
              <w:rPr>
                <w:rFonts w:hint="eastAsia" w:ascii="仿宋" w:hAnsi="仿宋" w:eastAsia="仿宋" w:cs="Arial"/>
              </w:rPr>
              <w:t>5.不存在截留情况；6.不存在挤占情况；</w:t>
            </w:r>
          </w:p>
          <w:p>
            <w:pPr>
              <w:spacing w:line="340" w:lineRule="exact"/>
              <w:rPr>
                <w:rFonts w:hint="eastAsia" w:ascii="仿宋" w:hAnsi="仿宋" w:eastAsia="仿宋" w:cs="宋体"/>
              </w:rPr>
            </w:pPr>
            <w:r>
              <w:rPr>
                <w:rFonts w:hint="eastAsia" w:ascii="仿宋" w:hAnsi="仿宋" w:eastAsia="仿宋" w:cs="Arial"/>
              </w:rPr>
              <w:t>7.不存在挪用情况；8.不存在虚列支出情况。</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全部符合（9分）；</w:t>
            </w:r>
          </w:p>
          <w:p>
            <w:pPr>
              <w:spacing w:line="340" w:lineRule="exact"/>
              <w:rPr>
                <w:rFonts w:hint="eastAsia" w:ascii="仿宋" w:hAnsi="仿宋" w:eastAsia="仿宋" w:cs="宋体"/>
              </w:rPr>
            </w:pPr>
            <w:r>
              <w:rPr>
                <w:rFonts w:hint="eastAsia" w:ascii="仿宋" w:hAnsi="仿宋" w:eastAsia="仿宋" w:cs="Arial"/>
              </w:rPr>
              <w:t>符合其中七项（8分）；</w:t>
            </w:r>
          </w:p>
          <w:p>
            <w:pPr>
              <w:spacing w:line="340" w:lineRule="exact"/>
              <w:rPr>
                <w:rFonts w:hint="eastAsia" w:ascii="仿宋" w:hAnsi="仿宋" w:eastAsia="仿宋" w:cs="宋体"/>
              </w:rPr>
            </w:pPr>
            <w:r>
              <w:rPr>
                <w:rFonts w:hint="eastAsia" w:ascii="仿宋" w:hAnsi="仿宋" w:eastAsia="仿宋" w:cs="Arial"/>
              </w:rPr>
              <w:t>符合其中六项（5分）；</w:t>
            </w:r>
          </w:p>
          <w:p>
            <w:pPr>
              <w:spacing w:line="340" w:lineRule="exact"/>
              <w:rPr>
                <w:rFonts w:hint="eastAsia" w:ascii="仿宋" w:hAnsi="仿宋" w:eastAsia="仿宋" w:cs="宋体"/>
              </w:rPr>
            </w:pPr>
            <w:r>
              <w:rPr>
                <w:rFonts w:hint="eastAsia" w:ascii="仿宋" w:hAnsi="仿宋" w:eastAsia="仿宋" w:cs="Arial"/>
              </w:rPr>
              <w:t>符合其中五项（3分）；</w:t>
            </w:r>
          </w:p>
          <w:p>
            <w:pPr>
              <w:spacing w:line="340" w:lineRule="exact"/>
              <w:rPr>
                <w:rFonts w:hint="eastAsia" w:ascii="仿宋" w:hAnsi="仿宋" w:eastAsia="仿宋" w:cs="宋体"/>
              </w:rPr>
            </w:pPr>
            <w:r>
              <w:rPr>
                <w:rFonts w:hint="eastAsia" w:ascii="仿宋" w:hAnsi="仿宋" w:eastAsia="仿宋" w:cs="Arial"/>
              </w:rPr>
              <w:t>符合其中四项及以下（0分）。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eastAsia="仿宋" w:cs="Arial"/>
                <w:sz w:val="20"/>
                <w:szCs w:val="20"/>
              </w:rPr>
              <w:t> 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6"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预决算信息公开性（3分）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部门是否按照政府信息公开有关规定公开相关预决算信息，用以反映和评价部门预决算管理的公开透明情况。</w:t>
            </w:r>
          </w:p>
          <w:p>
            <w:pPr>
              <w:spacing w:line="340" w:lineRule="exact"/>
              <w:rPr>
                <w:rFonts w:hint="eastAsia" w:ascii="仿宋" w:hAnsi="仿宋" w:eastAsia="仿宋" w:cs="宋体"/>
              </w:rPr>
            </w:pPr>
            <w:r>
              <w:rPr>
                <w:rFonts w:hint="eastAsia" w:ascii="仿宋" w:hAnsi="仿宋" w:eastAsia="仿宋" w:cs="Arial"/>
              </w:rPr>
              <w:t>预决算信息是指与部门预算、执行、决算、监督、绩效等管理相关的信息。</w:t>
            </w:r>
          </w:p>
          <w:p>
            <w:pPr>
              <w:spacing w:line="340" w:lineRule="exact"/>
              <w:rPr>
                <w:rFonts w:hint="eastAsia" w:ascii="仿宋" w:hAnsi="仿宋" w:eastAsia="仿宋" w:cs="宋体"/>
              </w:rPr>
            </w:pPr>
            <w:r>
              <w:rPr>
                <w:rFonts w:hint="eastAsia" w:ascii="仿宋" w:hAnsi="仿宋" w:eastAsia="仿宋" w:cs="Arial"/>
              </w:rPr>
              <w:t>评价要点：</w:t>
            </w:r>
          </w:p>
          <w:p>
            <w:pPr>
              <w:spacing w:line="340" w:lineRule="exact"/>
              <w:rPr>
                <w:rFonts w:hint="eastAsia" w:ascii="仿宋" w:hAnsi="仿宋" w:eastAsia="仿宋" w:cs="宋体"/>
              </w:rPr>
            </w:pPr>
            <w:r>
              <w:rPr>
                <w:rFonts w:hint="eastAsia" w:ascii="仿宋" w:hAnsi="仿宋" w:eastAsia="仿宋" w:cs="Arial"/>
              </w:rPr>
              <w:t>1.公开预决算信息；</w:t>
            </w:r>
          </w:p>
          <w:p>
            <w:pPr>
              <w:spacing w:line="340" w:lineRule="exact"/>
              <w:rPr>
                <w:rFonts w:hint="eastAsia" w:ascii="仿宋" w:hAnsi="仿宋" w:eastAsia="仿宋" w:cs="宋体"/>
              </w:rPr>
            </w:pPr>
            <w:r>
              <w:rPr>
                <w:rFonts w:hint="eastAsia" w:ascii="仿宋" w:hAnsi="仿宋" w:eastAsia="仿宋" w:cs="Arial"/>
              </w:rPr>
              <w:t>2.按规定内容公开预决算信息；</w:t>
            </w:r>
          </w:p>
          <w:p>
            <w:pPr>
              <w:spacing w:line="340" w:lineRule="exact"/>
              <w:rPr>
                <w:rFonts w:hint="eastAsia" w:ascii="仿宋" w:hAnsi="仿宋" w:eastAsia="仿宋" w:cs="宋体"/>
              </w:rPr>
            </w:pPr>
            <w:r>
              <w:rPr>
                <w:rFonts w:hint="eastAsia" w:ascii="仿宋" w:hAnsi="仿宋" w:eastAsia="仿宋" w:cs="Arial"/>
              </w:rPr>
              <w:t>3.按规定时限公开预决算信息。</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全部符合（3分）；</w:t>
            </w:r>
          </w:p>
          <w:p>
            <w:pPr>
              <w:spacing w:line="340" w:lineRule="exact"/>
              <w:rPr>
                <w:rFonts w:hint="eastAsia" w:ascii="仿宋" w:hAnsi="仿宋" w:eastAsia="仿宋" w:cs="宋体"/>
              </w:rPr>
            </w:pPr>
            <w:r>
              <w:rPr>
                <w:rFonts w:hint="eastAsia" w:ascii="仿宋" w:hAnsi="仿宋" w:eastAsia="仿宋" w:cs="Arial"/>
              </w:rPr>
              <w:t>符合其中两项（2分）</w:t>
            </w:r>
          </w:p>
          <w:p>
            <w:pPr>
              <w:spacing w:line="340" w:lineRule="exact"/>
              <w:rPr>
                <w:rFonts w:hint="eastAsia" w:ascii="仿宋" w:hAnsi="仿宋" w:eastAsia="仿宋" w:cs="宋体"/>
              </w:rPr>
            </w:pPr>
            <w:r>
              <w:rPr>
                <w:rFonts w:hint="eastAsia" w:ascii="仿宋" w:hAnsi="仿宋" w:eastAsia="仿宋" w:cs="Arial"/>
              </w:rPr>
              <w:t>符合其中一项及以下（0分）。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eastAsia="仿宋" w:cs="Arial"/>
                <w:sz w:val="20"/>
                <w:szCs w:val="20"/>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color w:val="000000"/>
              </w:rPr>
            </w:pPr>
            <w:r>
              <w:rPr>
                <w:rFonts w:hint="eastAsia" w:ascii="仿宋" w:hAnsi="仿宋" w:eastAsia="仿宋" w:cs="Arial"/>
                <w:color w:val="000000"/>
              </w:rPr>
              <w:t>基础信息完善性</w:t>
            </w:r>
          </w:p>
          <w:p>
            <w:pPr>
              <w:spacing w:line="340" w:lineRule="exact"/>
              <w:rPr>
                <w:rFonts w:hint="eastAsia" w:ascii="仿宋" w:hAnsi="仿宋" w:eastAsia="仿宋" w:cs="宋体"/>
              </w:rPr>
            </w:pPr>
            <w:r>
              <w:rPr>
                <w:rFonts w:hint="eastAsia" w:ascii="仿宋" w:hAnsi="仿宋" w:eastAsia="仿宋" w:cs="Arial"/>
              </w:rPr>
              <w:t>（4分）</w:t>
            </w:r>
          </w:p>
        </w:tc>
        <w:tc>
          <w:tcPr>
            <w:tcW w:w="4536" w:type="dxa"/>
            <w:tcBorders>
              <w:top w:val="single" w:color="000000" w:sz="4" w:space="0"/>
              <w:left w:val="nil"/>
              <w:bottom w:val="single" w:color="000000"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Arial"/>
              </w:rPr>
              <w:t>部门基础信息是否完善，用以反映和评价基础信息对预算管理工作的支撑情况。</w:t>
            </w:r>
          </w:p>
          <w:p>
            <w:pPr>
              <w:spacing w:line="300" w:lineRule="exact"/>
              <w:rPr>
                <w:rFonts w:hint="eastAsia" w:ascii="仿宋" w:hAnsi="仿宋" w:eastAsia="仿宋" w:cs="宋体"/>
              </w:rPr>
            </w:pPr>
            <w:r>
              <w:rPr>
                <w:rFonts w:hint="eastAsia" w:ascii="仿宋" w:hAnsi="仿宋" w:eastAsia="仿宋" w:cs="Arial"/>
              </w:rPr>
              <w:t>评价要点：</w:t>
            </w:r>
          </w:p>
          <w:p>
            <w:pPr>
              <w:spacing w:line="300" w:lineRule="exact"/>
              <w:rPr>
                <w:rFonts w:hint="eastAsia" w:ascii="仿宋" w:hAnsi="仿宋" w:eastAsia="仿宋" w:cs="宋体"/>
              </w:rPr>
            </w:pPr>
            <w:r>
              <w:rPr>
                <w:rFonts w:hint="eastAsia" w:ascii="仿宋" w:hAnsi="仿宋" w:eastAsia="仿宋" w:cs="Arial"/>
              </w:rPr>
              <w:t>1.基本财务管理制度健全；</w:t>
            </w:r>
          </w:p>
          <w:p>
            <w:pPr>
              <w:spacing w:line="300" w:lineRule="exact"/>
              <w:rPr>
                <w:rFonts w:hint="eastAsia" w:ascii="仿宋" w:hAnsi="仿宋" w:eastAsia="仿宋" w:cs="宋体"/>
              </w:rPr>
            </w:pPr>
            <w:r>
              <w:rPr>
                <w:rFonts w:hint="eastAsia" w:ascii="仿宋" w:hAnsi="仿宋" w:eastAsia="仿宋" w:cs="Arial"/>
              </w:rPr>
              <w:t>2.基础数据信息和会计信息资料真实；</w:t>
            </w:r>
          </w:p>
          <w:p>
            <w:pPr>
              <w:spacing w:line="300" w:lineRule="exact"/>
              <w:rPr>
                <w:rFonts w:hint="eastAsia" w:ascii="仿宋" w:hAnsi="仿宋" w:eastAsia="仿宋" w:cs="宋体"/>
              </w:rPr>
            </w:pPr>
            <w:r>
              <w:rPr>
                <w:rFonts w:hint="eastAsia" w:ascii="仿宋" w:hAnsi="仿宋" w:eastAsia="仿宋" w:cs="Arial"/>
              </w:rPr>
              <w:t>3.基础数据信息和会计信息资料完整；</w:t>
            </w:r>
          </w:p>
          <w:p>
            <w:pPr>
              <w:spacing w:line="300" w:lineRule="exact"/>
              <w:rPr>
                <w:rFonts w:hint="eastAsia" w:ascii="仿宋" w:hAnsi="仿宋" w:eastAsia="仿宋" w:cs="宋体"/>
              </w:rPr>
            </w:pPr>
            <w:r>
              <w:rPr>
                <w:rFonts w:hint="eastAsia" w:ascii="仿宋" w:hAnsi="仿宋" w:eastAsia="仿宋" w:cs="Arial"/>
              </w:rPr>
              <w:t>4.基础数据信息和会计信息资料准确。</w:t>
            </w:r>
          </w:p>
        </w:tc>
        <w:tc>
          <w:tcPr>
            <w:tcW w:w="2286" w:type="dxa"/>
            <w:tcBorders>
              <w:top w:val="single" w:color="000000" w:sz="4" w:space="0"/>
              <w:left w:val="nil"/>
              <w:bottom w:val="single" w:color="000000"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Arial"/>
              </w:rPr>
              <w:t>符合全部四项（4分）；</w:t>
            </w:r>
          </w:p>
          <w:p>
            <w:pPr>
              <w:spacing w:line="300" w:lineRule="exact"/>
              <w:rPr>
                <w:rFonts w:hint="eastAsia" w:ascii="仿宋" w:hAnsi="仿宋" w:eastAsia="仿宋" w:cs="宋体"/>
              </w:rPr>
            </w:pPr>
            <w:r>
              <w:rPr>
                <w:rFonts w:hint="eastAsia" w:ascii="仿宋" w:hAnsi="仿宋" w:eastAsia="仿宋" w:cs="Arial"/>
              </w:rPr>
              <w:t>符合其中三项（2分）；</w:t>
            </w:r>
          </w:p>
          <w:p>
            <w:pPr>
              <w:spacing w:line="300" w:lineRule="exact"/>
              <w:rPr>
                <w:rFonts w:hint="eastAsia" w:ascii="仿宋" w:hAnsi="仿宋" w:eastAsia="仿宋" w:cs="宋体"/>
              </w:rPr>
            </w:pPr>
            <w:r>
              <w:rPr>
                <w:rFonts w:hint="eastAsia" w:ascii="仿宋" w:hAnsi="仿宋" w:eastAsia="仿宋" w:cs="Arial"/>
              </w:rPr>
              <w:t>符合其中两项（1分）；</w:t>
            </w:r>
          </w:p>
          <w:p>
            <w:pPr>
              <w:spacing w:line="300" w:lineRule="exact"/>
              <w:rPr>
                <w:rFonts w:hint="eastAsia" w:ascii="仿宋" w:hAnsi="仿宋" w:eastAsia="仿宋" w:cs="宋体"/>
              </w:rPr>
            </w:pPr>
            <w:r>
              <w:rPr>
                <w:rFonts w:hint="eastAsia" w:ascii="仿宋" w:hAnsi="仿宋" w:eastAsia="仿宋" w:cs="Arial"/>
              </w:rPr>
              <w:t>符合其中一项及以下（0分）。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eastAsia="仿宋" w:cs="Arial"/>
                <w:sz w:val="20"/>
                <w:szCs w:val="20"/>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restart"/>
            <w:tcBorders>
              <w:top w:val="nil"/>
              <w:left w:val="single" w:color="000000" w:sz="4" w:space="0"/>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仿宋" w:hAnsi="仿宋" w:eastAsia="仿宋" w:cs="Arial"/>
                <w:sz w:val="24"/>
                <w:szCs w:val="24"/>
              </w:rPr>
              <w:t>资产管理（8分）</w:t>
            </w: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color w:val="000000"/>
              </w:rPr>
            </w:pPr>
            <w:r>
              <w:rPr>
                <w:rFonts w:hint="eastAsia" w:ascii="仿宋" w:hAnsi="仿宋" w:eastAsia="仿宋" w:cs="Arial"/>
                <w:color w:val="000000"/>
              </w:rPr>
              <w:t>管理制度健全性</w:t>
            </w:r>
          </w:p>
          <w:p>
            <w:pPr>
              <w:spacing w:line="340" w:lineRule="exact"/>
              <w:rPr>
                <w:rFonts w:hint="eastAsia" w:ascii="仿宋" w:hAnsi="仿宋" w:eastAsia="仿宋" w:cs="Arial"/>
                <w:color w:val="000000"/>
              </w:rPr>
            </w:pPr>
            <w:r>
              <w:rPr>
                <w:rFonts w:hint="eastAsia" w:ascii="仿宋" w:hAnsi="仿宋" w:eastAsia="仿宋" w:cs="Arial"/>
                <w:color w:val="000000"/>
              </w:rPr>
              <w:t>（2分）</w:t>
            </w:r>
          </w:p>
        </w:tc>
        <w:tc>
          <w:tcPr>
            <w:tcW w:w="4536" w:type="dxa"/>
            <w:tcBorders>
              <w:top w:val="single" w:color="000000" w:sz="4" w:space="0"/>
              <w:left w:val="nil"/>
              <w:bottom w:val="single" w:color="000000" w:sz="4" w:space="0"/>
              <w:right w:val="single" w:color="auto" w:sz="4" w:space="0"/>
            </w:tcBorders>
            <w:vAlign w:val="center"/>
          </w:tcPr>
          <w:p>
            <w:pPr>
              <w:spacing w:line="300" w:lineRule="exact"/>
              <w:rPr>
                <w:rFonts w:hint="eastAsia" w:ascii="仿宋" w:hAnsi="仿宋" w:eastAsia="仿宋" w:cs="Arial"/>
              </w:rPr>
            </w:pPr>
            <w:r>
              <w:rPr>
                <w:rFonts w:hint="eastAsia" w:ascii="仿宋" w:hAnsi="仿宋" w:eastAsia="仿宋" w:cs="Arial"/>
              </w:rPr>
              <w:t>部门为加强资产管理、规范资产管理行为而制定的管理制度是否健全完整，用以反映和考核部门资产管理制度对完成主要职责或促进社会发展的保障情况。</w:t>
            </w:r>
          </w:p>
          <w:p>
            <w:pPr>
              <w:spacing w:line="300" w:lineRule="exact"/>
              <w:rPr>
                <w:rFonts w:hint="eastAsia" w:ascii="仿宋" w:hAnsi="仿宋" w:eastAsia="仿宋" w:cs="宋体"/>
              </w:rPr>
            </w:pPr>
            <w:r>
              <w:rPr>
                <w:rFonts w:hint="eastAsia" w:ascii="仿宋" w:hAnsi="仿宋" w:eastAsia="仿宋" w:cs="Arial"/>
              </w:rPr>
              <w:t>评价要点：</w:t>
            </w:r>
          </w:p>
          <w:p>
            <w:pPr>
              <w:spacing w:line="300" w:lineRule="exact"/>
              <w:rPr>
                <w:rFonts w:hint="eastAsia" w:ascii="仿宋" w:hAnsi="仿宋" w:eastAsia="仿宋" w:cs="Arial"/>
              </w:rPr>
            </w:pPr>
            <w:r>
              <w:rPr>
                <w:rFonts w:hint="eastAsia" w:ascii="仿宋" w:hAnsi="仿宋" w:eastAsia="仿宋" w:cs="Arial"/>
              </w:rPr>
              <w:t>1.是否已制定或具有资产管理制度；</w:t>
            </w:r>
          </w:p>
          <w:p>
            <w:pPr>
              <w:spacing w:line="300" w:lineRule="exact"/>
              <w:rPr>
                <w:rFonts w:hint="eastAsia" w:ascii="仿宋" w:hAnsi="仿宋" w:eastAsia="仿宋" w:cs="Arial"/>
              </w:rPr>
            </w:pPr>
            <w:r>
              <w:rPr>
                <w:rFonts w:hint="eastAsia" w:ascii="仿宋" w:hAnsi="仿宋" w:eastAsia="仿宋" w:cs="Arial"/>
              </w:rPr>
              <w:t>2.相关资金管理制度是否合法、合规、完整；</w:t>
            </w:r>
          </w:p>
          <w:p>
            <w:pPr>
              <w:spacing w:line="300" w:lineRule="exact"/>
              <w:rPr>
                <w:rFonts w:hint="eastAsia" w:ascii="仿宋" w:hAnsi="仿宋" w:eastAsia="仿宋" w:cs="Arial"/>
              </w:rPr>
            </w:pPr>
            <w:r>
              <w:rPr>
                <w:rFonts w:hint="eastAsia" w:ascii="仿宋" w:hAnsi="仿宋" w:eastAsia="仿宋" w:cs="Arial"/>
              </w:rPr>
              <w:t>3.相关资产管理制度是否得到有效执行。</w:t>
            </w:r>
          </w:p>
        </w:tc>
        <w:tc>
          <w:tcPr>
            <w:tcW w:w="2286" w:type="dxa"/>
            <w:tcBorders>
              <w:top w:val="single" w:color="000000" w:sz="4" w:space="0"/>
              <w:left w:val="nil"/>
              <w:bottom w:val="single" w:color="000000" w:sz="4" w:space="0"/>
              <w:right w:val="single" w:color="auto" w:sz="4" w:space="0"/>
            </w:tcBorders>
            <w:vAlign w:val="center"/>
          </w:tcPr>
          <w:p>
            <w:pPr>
              <w:spacing w:line="300" w:lineRule="exact"/>
              <w:rPr>
                <w:rFonts w:hint="eastAsia" w:ascii="仿宋" w:hAnsi="仿宋" w:eastAsia="仿宋" w:cs="Arial"/>
              </w:rPr>
            </w:pPr>
            <w:r>
              <w:rPr>
                <w:rFonts w:hint="eastAsia" w:ascii="仿宋" w:hAnsi="仿宋" w:eastAsia="仿宋" w:cs="Arial"/>
              </w:rPr>
              <w:t>全部符合（2分）；</w:t>
            </w:r>
          </w:p>
          <w:p>
            <w:pPr>
              <w:spacing w:line="300" w:lineRule="exact"/>
              <w:rPr>
                <w:rFonts w:hint="eastAsia" w:ascii="仿宋" w:hAnsi="仿宋" w:eastAsia="仿宋" w:cs="宋体"/>
              </w:rPr>
            </w:pPr>
            <w:r>
              <w:rPr>
                <w:rFonts w:hint="eastAsia" w:ascii="仿宋" w:hAnsi="仿宋" w:eastAsia="仿宋" w:cs="Arial"/>
              </w:rPr>
              <w:t>符合其中两项（1分）</w:t>
            </w:r>
          </w:p>
          <w:p>
            <w:pPr>
              <w:spacing w:line="300" w:lineRule="exact"/>
              <w:rPr>
                <w:rFonts w:hint="eastAsia" w:ascii="仿宋" w:hAnsi="仿宋" w:eastAsia="仿宋" w:cs="Arial"/>
              </w:rPr>
            </w:pPr>
            <w:r>
              <w:rPr>
                <w:rFonts w:hint="eastAsia" w:ascii="仿宋" w:hAnsi="仿宋" w:eastAsia="仿宋" w:cs="Arial"/>
              </w:rPr>
              <w:t>符合其中一项及以下（0分）。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ind w:firstLine="200" w:firstLineChars="100"/>
              <w:rPr>
                <w:rFonts w:hint="eastAsia" w:ascii="宋体" w:hAnsi="宋体" w:eastAsia="仿宋" w:cs="Arial"/>
                <w:sz w:val="20"/>
                <w:szCs w:val="20"/>
              </w:rPr>
            </w:pPr>
            <w:r>
              <w:rPr>
                <w:rFonts w:hint="eastAsia" w:ascii="宋体" w:hAnsi="宋体" w:eastAsia="仿宋" w:cs="Arial"/>
                <w:sz w:val="20"/>
                <w:szCs w:val="20"/>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资产管理完全性</w:t>
            </w:r>
          </w:p>
          <w:p>
            <w:pPr>
              <w:spacing w:line="340" w:lineRule="exact"/>
              <w:rPr>
                <w:rFonts w:hint="eastAsia" w:ascii="仿宋" w:hAnsi="仿宋" w:eastAsia="仿宋" w:cs="宋体"/>
              </w:rPr>
            </w:pPr>
            <w:r>
              <w:rPr>
                <w:rFonts w:hint="eastAsia" w:ascii="仿宋" w:hAnsi="仿宋" w:eastAsia="仿宋" w:cs="Arial"/>
              </w:rPr>
              <w:t>（3分）</w:t>
            </w:r>
          </w:p>
        </w:tc>
        <w:tc>
          <w:tcPr>
            <w:tcW w:w="4536" w:type="dxa"/>
            <w:tcBorders>
              <w:top w:val="single" w:color="auto" w:sz="4" w:space="0"/>
              <w:left w:val="nil"/>
              <w:bottom w:val="single" w:color="000000"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Arial"/>
              </w:rPr>
              <w:t>部门的资产是否保存完整、使用合规、收入及时足额上缴，用以反映和评价部门资产运行情况。</w:t>
            </w:r>
          </w:p>
          <w:p>
            <w:pPr>
              <w:spacing w:line="300" w:lineRule="exact"/>
              <w:rPr>
                <w:rFonts w:hint="eastAsia" w:ascii="仿宋" w:hAnsi="仿宋" w:eastAsia="仿宋" w:cs="宋体"/>
              </w:rPr>
            </w:pPr>
            <w:r>
              <w:rPr>
                <w:rFonts w:hint="eastAsia" w:ascii="仿宋" w:hAnsi="仿宋" w:eastAsia="仿宋" w:cs="Arial"/>
              </w:rPr>
              <w:t>评价要点：</w:t>
            </w:r>
          </w:p>
          <w:p>
            <w:pPr>
              <w:spacing w:line="300" w:lineRule="exact"/>
              <w:rPr>
                <w:rFonts w:hint="eastAsia" w:ascii="仿宋" w:hAnsi="仿宋" w:eastAsia="仿宋" w:cs="宋体"/>
              </w:rPr>
            </w:pPr>
            <w:r>
              <w:rPr>
                <w:rFonts w:hint="eastAsia" w:ascii="仿宋" w:hAnsi="仿宋" w:eastAsia="仿宋" w:cs="Arial"/>
              </w:rPr>
              <w:t>1.资产保存完整；</w:t>
            </w:r>
          </w:p>
          <w:p>
            <w:pPr>
              <w:spacing w:line="300" w:lineRule="exact"/>
              <w:rPr>
                <w:rFonts w:hint="eastAsia" w:ascii="仿宋" w:hAnsi="仿宋" w:eastAsia="仿宋" w:cs="宋体"/>
              </w:rPr>
            </w:pPr>
            <w:r>
              <w:rPr>
                <w:rFonts w:hint="eastAsia" w:ascii="仿宋" w:hAnsi="仿宋" w:eastAsia="仿宋" w:cs="Arial"/>
              </w:rPr>
              <w:t>2.资产账务管理是否合规，帐实相符；</w:t>
            </w:r>
          </w:p>
          <w:p>
            <w:pPr>
              <w:spacing w:line="300" w:lineRule="exact"/>
              <w:rPr>
                <w:rFonts w:hint="eastAsia" w:ascii="仿宋" w:hAnsi="仿宋" w:eastAsia="仿宋" w:cs="宋体"/>
              </w:rPr>
            </w:pPr>
            <w:r>
              <w:rPr>
                <w:rFonts w:hint="eastAsia" w:ascii="仿宋" w:hAnsi="仿宋" w:eastAsia="仿宋" w:cs="Arial"/>
              </w:rPr>
              <w:t>3.资产有偿使用及处置收入及时足额上缴。</w:t>
            </w:r>
          </w:p>
        </w:tc>
        <w:tc>
          <w:tcPr>
            <w:tcW w:w="2286" w:type="dxa"/>
            <w:tcBorders>
              <w:top w:val="single" w:color="auto" w:sz="4" w:space="0"/>
              <w:left w:val="nil"/>
              <w:bottom w:val="single" w:color="000000"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Arial"/>
              </w:rPr>
              <w:t>符合全部三项（3分）；</w:t>
            </w:r>
          </w:p>
          <w:p>
            <w:pPr>
              <w:spacing w:line="300" w:lineRule="exact"/>
              <w:rPr>
                <w:rFonts w:hint="eastAsia" w:ascii="仿宋" w:hAnsi="仿宋" w:eastAsia="仿宋" w:cs="宋体"/>
              </w:rPr>
            </w:pPr>
            <w:r>
              <w:rPr>
                <w:rFonts w:hint="eastAsia" w:ascii="仿宋" w:hAnsi="仿宋" w:eastAsia="仿宋" w:cs="Arial"/>
              </w:rPr>
              <w:t>符合其中两项（2分）；</w:t>
            </w:r>
          </w:p>
          <w:p>
            <w:pPr>
              <w:spacing w:line="300" w:lineRule="exact"/>
              <w:rPr>
                <w:rFonts w:hint="eastAsia" w:ascii="仿宋" w:hAnsi="仿宋" w:eastAsia="仿宋" w:cs="宋体"/>
              </w:rPr>
            </w:pPr>
            <w:r>
              <w:rPr>
                <w:rFonts w:hint="eastAsia" w:ascii="仿宋" w:hAnsi="仿宋" w:eastAsia="仿宋" w:cs="Arial"/>
              </w:rPr>
              <w:t>符合其中一项（1分）；</w:t>
            </w:r>
          </w:p>
          <w:p>
            <w:pPr>
              <w:spacing w:line="300" w:lineRule="exact"/>
              <w:rPr>
                <w:rFonts w:hint="eastAsia" w:ascii="仿宋" w:hAnsi="仿宋" w:eastAsia="仿宋" w:cs="宋体"/>
              </w:rPr>
            </w:pPr>
            <w:r>
              <w:rPr>
                <w:rFonts w:hint="eastAsia" w:ascii="仿宋" w:hAnsi="仿宋" w:eastAsia="仿宋" w:cs="Arial"/>
              </w:rPr>
              <w:t>符合零项（0分）。</w:t>
            </w:r>
          </w:p>
        </w:tc>
        <w:tc>
          <w:tcPr>
            <w:tcW w:w="794" w:type="dxa"/>
            <w:tcBorders>
              <w:top w:val="single" w:color="auto"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eastAsia="仿宋" w:cs="Arial"/>
                <w:sz w:val="20"/>
                <w:szCs w:val="20"/>
              </w:rPr>
              <w: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固定资产利用率</w:t>
            </w:r>
          </w:p>
          <w:p>
            <w:pPr>
              <w:spacing w:line="340" w:lineRule="exact"/>
              <w:rPr>
                <w:rFonts w:hint="eastAsia" w:ascii="仿宋" w:hAnsi="仿宋" w:eastAsia="仿宋" w:cs="宋体"/>
              </w:rPr>
            </w:pPr>
            <w:r>
              <w:rPr>
                <w:rFonts w:hint="eastAsia" w:ascii="仿宋" w:hAnsi="仿宋" w:eastAsia="仿宋" w:cs="Arial"/>
              </w:rPr>
              <w:t>（3分）</w:t>
            </w:r>
          </w:p>
        </w:tc>
        <w:tc>
          <w:tcPr>
            <w:tcW w:w="4536" w:type="dxa"/>
            <w:tcBorders>
              <w:top w:val="single" w:color="auto" w:sz="4" w:space="0"/>
              <w:left w:val="nil"/>
              <w:bottom w:val="single" w:color="000000"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Arial"/>
              </w:rPr>
              <w:t>部门实际在用固定资产总额与所有固定资产总额的比率，用以反映和评价部门固定资产使用效率。</w:t>
            </w:r>
          </w:p>
          <w:p>
            <w:pPr>
              <w:spacing w:line="300" w:lineRule="exact"/>
              <w:rPr>
                <w:rFonts w:hint="eastAsia" w:ascii="仿宋" w:hAnsi="仿宋" w:eastAsia="仿宋" w:cs="宋体"/>
              </w:rPr>
            </w:pPr>
            <w:r>
              <w:rPr>
                <w:rFonts w:hint="eastAsia" w:ascii="仿宋" w:hAnsi="仿宋" w:eastAsia="仿宋" w:cs="Arial"/>
              </w:rPr>
              <w:t>固定资产利用率=（实际在用固定资产总额/所有固定资产总额）×100%。</w:t>
            </w:r>
          </w:p>
        </w:tc>
        <w:tc>
          <w:tcPr>
            <w:tcW w:w="2286" w:type="dxa"/>
            <w:tcBorders>
              <w:top w:val="single" w:color="auto" w:sz="4" w:space="0"/>
              <w:left w:val="nil"/>
              <w:bottom w:val="single" w:color="000000"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宋体"/>
              </w:rPr>
              <w:t>目标值为80%；以3分为上限，采用完成比率法计分：得分=固定资产利用率/80%×100%×3，超出目标值不加分。</w:t>
            </w:r>
          </w:p>
        </w:tc>
        <w:tc>
          <w:tcPr>
            <w:tcW w:w="794" w:type="dxa"/>
            <w:tcBorders>
              <w:top w:val="single" w:color="auto"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lang w:eastAsia="zh-CN"/>
              </w:rPr>
            </w:pPr>
            <w:r>
              <w:rPr>
                <w:rFonts w:hint="eastAsia" w:ascii="宋体" w:hAnsi="宋体" w:eastAsia="仿宋" w:cs="Arial"/>
                <w:sz w:val="20"/>
                <w:szCs w:val="20"/>
              </w:rPr>
              <w:t> </w:t>
            </w:r>
            <w:r>
              <w:rPr>
                <w:rFonts w:hint="eastAsia" w:ascii="宋体" w:hAnsi="宋体" w:eastAsia="仿宋" w:cs="Arial"/>
                <w:sz w:val="20"/>
                <w:szCs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仿宋" w:hAnsi="仿宋" w:eastAsia="仿宋" w:cs="宋体"/>
                <w:sz w:val="24"/>
                <w:szCs w:val="24"/>
              </w:rPr>
              <w:t>预算绩效监控管理（2分）</w:t>
            </w:r>
          </w:p>
        </w:tc>
        <w:tc>
          <w:tcPr>
            <w:tcW w:w="709" w:type="dxa"/>
            <w:tcBorders>
              <w:top w:val="single" w:color="auto"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监控率</w:t>
            </w:r>
            <w:r>
              <w:rPr>
                <w:rFonts w:hint="eastAsia" w:ascii="仿宋" w:hAnsi="仿宋" w:eastAsia="仿宋" w:cs="宋体"/>
              </w:rPr>
              <w:t>（2分）</w:t>
            </w:r>
          </w:p>
        </w:tc>
        <w:tc>
          <w:tcPr>
            <w:tcW w:w="4536" w:type="dxa"/>
            <w:tcBorders>
              <w:top w:val="single" w:color="auto" w:sz="4" w:space="0"/>
              <w:left w:val="nil"/>
              <w:bottom w:val="single" w:color="000000" w:sz="4" w:space="0"/>
              <w:right w:val="single" w:color="auto" w:sz="4" w:space="0"/>
            </w:tcBorders>
            <w:vAlign w:val="center"/>
          </w:tcPr>
          <w:p>
            <w:pPr>
              <w:spacing w:line="300" w:lineRule="exact"/>
              <w:rPr>
                <w:rFonts w:hint="eastAsia" w:ascii="仿宋" w:hAnsi="仿宋" w:eastAsia="仿宋" w:cs="Arial"/>
              </w:rPr>
            </w:pPr>
            <w:r>
              <w:rPr>
                <w:rFonts w:hint="eastAsia" w:ascii="仿宋" w:hAnsi="仿宋" w:eastAsia="仿宋" w:cs="Arial"/>
              </w:rPr>
              <w:t>部门（单位）纳入绩效监控的项目数量占实际申报绩效目标项目数量的比重，用以反映和考核部门（单位）在项目运行中实施绩效管理的水平和程度。</w:t>
            </w:r>
          </w:p>
          <w:p>
            <w:pPr>
              <w:spacing w:line="300" w:lineRule="exact"/>
              <w:rPr>
                <w:rFonts w:hint="eastAsia" w:ascii="仿宋" w:hAnsi="仿宋" w:eastAsia="仿宋" w:cs="Arial"/>
              </w:rPr>
            </w:pPr>
            <w:r>
              <w:rPr>
                <w:rFonts w:hint="eastAsia" w:ascii="仿宋" w:hAnsi="仿宋" w:eastAsia="仿宋" w:cs="Arial"/>
              </w:rPr>
              <w:t>监控率=实施绩效监控项目数/实际申报绩效目标项目数×100%</w:t>
            </w:r>
          </w:p>
        </w:tc>
        <w:tc>
          <w:tcPr>
            <w:tcW w:w="2286" w:type="dxa"/>
            <w:tcBorders>
              <w:top w:val="single" w:color="auto" w:sz="4" w:space="0"/>
              <w:left w:val="nil"/>
              <w:bottom w:val="single" w:color="000000"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宋体"/>
              </w:rPr>
              <w:t>目标值为90%；以2分为上限，采用完成比率法计分：得分=监控率×2，超出目标值不加分。</w:t>
            </w:r>
          </w:p>
        </w:tc>
        <w:tc>
          <w:tcPr>
            <w:tcW w:w="794" w:type="dxa"/>
            <w:tcBorders>
              <w:top w:val="single" w:color="auto" w:sz="4" w:space="0"/>
              <w:left w:val="nil"/>
              <w:bottom w:val="single" w:color="000000" w:sz="4" w:space="0"/>
              <w:right w:val="single" w:color="000000" w:sz="4" w:space="0"/>
            </w:tcBorders>
            <w:vAlign w:val="center"/>
          </w:tcPr>
          <w:p>
            <w:pPr>
              <w:spacing w:line="340" w:lineRule="exact"/>
              <w:ind w:firstLine="200" w:firstLineChars="100"/>
              <w:rPr>
                <w:rFonts w:hint="eastAsia" w:ascii="宋体" w:hAnsi="宋体" w:eastAsia="仿宋" w:cs="Arial"/>
                <w:sz w:val="20"/>
                <w:szCs w:val="20"/>
              </w:rPr>
            </w:pPr>
            <w:r>
              <w:rPr>
                <w:rFonts w:hint="eastAsia" w:ascii="宋体" w:hAnsi="宋体" w:eastAsia="仿宋" w:cs="Arial"/>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nil"/>
              <w:left w:val="single" w:color="000000" w:sz="4" w:space="0"/>
              <w:bottom w:val="single" w:color="000000" w:sz="4" w:space="0"/>
              <w:right w:val="single" w:color="000000" w:sz="4" w:space="0"/>
            </w:tcBorders>
            <w:vAlign w:val="center"/>
          </w:tcPr>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r>
              <w:rPr>
                <w:rFonts w:hint="eastAsia" w:ascii="仿宋" w:hAnsi="仿宋" w:eastAsia="仿宋" w:cs="Arial"/>
                <w:sz w:val="24"/>
                <w:szCs w:val="24"/>
              </w:rPr>
              <w:t>产出(15分)</w:t>
            </w: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tc>
        <w:tc>
          <w:tcPr>
            <w:tcW w:w="880" w:type="dxa"/>
            <w:vMerge w:val="restart"/>
            <w:tcBorders>
              <w:top w:val="nil"/>
              <w:left w:val="single" w:color="000000" w:sz="4" w:space="0"/>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仿宋" w:hAnsi="仿宋" w:eastAsia="仿宋" w:cs="Arial"/>
                <w:sz w:val="24"/>
                <w:szCs w:val="24"/>
              </w:rPr>
              <w:t>职责履行（15分）</w:t>
            </w:r>
          </w:p>
        </w:tc>
        <w:tc>
          <w:tcPr>
            <w:tcW w:w="709" w:type="dxa"/>
            <w:tcBorders>
              <w:top w:val="single" w:color="000000" w:sz="4" w:space="0"/>
              <w:left w:val="single" w:color="000000" w:sz="4" w:space="0"/>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项目实际完成率（4分）</w:t>
            </w:r>
          </w:p>
        </w:tc>
        <w:tc>
          <w:tcPr>
            <w:tcW w:w="4536" w:type="dxa"/>
            <w:tcBorders>
              <w:top w:val="single" w:color="000000" w:sz="4" w:space="0"/>
              <w:left w:val="nil"/>
              <w:bottom w:val="single" w:color="auto" w:sz="4" w:space="0"/>
              <w:right w:val="single" w:color="auto" w:sz="4" w:space="0"/>
            </w:tcBorders>
            <w:vAlign w:val="center"/>
          </w:tcPr>
          <w:p>
            <w:pPr>
              <w:spacing w:line="300" w:lineRule="exact"/>
              <w:rPr>
                <w:rFonts w:hint="eastAsia" w:ascii="仿宋" w:hAnsi="仿宋" w:eastAsia="仿宋" w:cs="宋体"/>
              </w:rPr>
            </w:pPr>
            <w:r>
              <w:rPr>
                <w:rFonts w:hint="eastAsia" w:ascii="仿宋" w:hAnsi="仿宋" w:eastAsia="仿宋" w:cs="Arial"/>
              </w:rPr>
              <w:t>部门履行职责而实际完成的项目数与计划完成的项目数的比率，用以反映和评价部门履职任务目标的实现程度。</w:t>
            </w:r>
          </w:p>
          <w:p>
            <w:pPr>
              <w:spacing w:line="300" w:lineRule="exact"/>
              <w:rPr>
                <w:rFonts w:hint="eastAsia" w:ascii="仿宋" w:hAnsi="仿宋" w:eastAsia="仿宋" w:cs="宋体"/>
              </w:rPr>
            </w:pPr>
            <w:r>
              <w:rPr>
                <w:rFonts w:hint="eastAsia" w:ascii="仿宋" w:hAnsi="仿宋" w:eastAsia="仿宋" w:cs="Arial"/>
              </w:rPr>
              <w:t>项目实际完成率=（实际完成项目数/计划完成项目数）×100%。</w:t>
            </w:r>
          </w:p>
        </w:tc>
        <w:tc>
          <w:tcPr>
            <w:tcW w:w="2286" w:type="dxa"/>
            <w:tcBorders>
              <w:top w:val="single" w:color="000000" w:sz="4" w:space="0"/>
              <w:left w:val="nil"/>
              <w:bottom w:val="single" w:color="auto" w:sz="4" w:space="0"/>
              <w:right w:val="single" w:color="auto" w:sz="4" w:space="0"/>
            </w:tcBorders>
            <w:vAlign w:val="center"/>
          </w:tcPr>
          <w:p>
            <w:pPr>
              <w:spacing w:line="260" w:lineRule="exact"/>
              <w:rPr>
                <w:rFonts w:hint="eastAsia" w:ascii="仿宋" w:hAnsi="仿宋" w:eastAsia="仿宋" w:cs="宋体"/>
              </w:rPr>
            </w:pPr>
            <w:r>
              <w:rPr>
                <w:rFonts w:hint="eastAsia" w:ascii="仿宋" w:hAnsi="仿宋" w:eastAsia="仿宋" w:cs="宋体"/>
              </w:rPr>
              <w:t>目标值为100%；</w:t>
            </w:r>
          </w:p>
          <w:p>
            <w:pPr>
              <w:spacing w:line="260" w:lineRule="exact"/>
              <w:rPr>
                <w:rFonts w:hint="eastAsia" w:ascii="仿宋" w:hAnsi="仿宋" w:eastAsia="仿宋" w:cs="宋体"/>
              </w:rPr>
            </w:pPr>
            <w:r>
              <w:rPr>
                <w:rFonts w:hint="eastAsia" w:ascii="仿宋" w:hAnsi="仿宋" w:eastAsia="仿宋" w:cs="宋体"/>
              </w:rPr>
              <w:t>达到目标值得4分；</w:t>
            </w:r>
          </w:p>
          <w:p>
            <w:pPr>
              <w:spacing w:line="260" w:lineRule="exact"/>
              <w:rPr>
                <w:rFonts w:hint="eastAsia" w:ascii="仿宋" w:hAnsi="仿宋" w:eastAsia="仿宋" w:cs="宋体"/>
              </w:rPr>
            </w:pPr>
            <w:r>
              <w:rPr>
                <w:rFonts w:hint="eastAsia" w:ascii="仿宋" w:hAnsi="仿宋" w:eastAsia="仿宋" w:cs="宋体"/>
              </w:rPr>
              <w:t>100%＞结果≥95%，得3分；</w:t>
            </w:r>
          </w:p>
          <w:p>
            <w:pPr>
              <w:spacing w:line="260" w:lineRule="exact"/>
              <w:rPr>
                <w:rFonts w:hint="eastAsia" w:ascii="仿宋" w:hAnsi="仿宋" w:eastAsia="仿宋" w:cs="宋体"/>
              </w:rPr>
            </w:pPr>
            <w:r>
              <w:rPr>
                <w:rFonts w:hint="eastAsia" w:ascii="仿宋" w:hAnsi="仿宋" w:eastAsia="仿宋" w:cs="宋体"/>
              </w:rPr>
              <w:t>95%＞结果≥90%，得2分；</w:t>
            </w:r>
          </w:p>
          <w:p>
            <w:pPr>
              <w:spacing w:line="260" w:lineRule="exact"/>
              <w:rPr>
                <w:rFonts w:hint="eastAsia" w:ascii="仿宋" w:hAnsi="仿宋" w:eastAsia="仿宋" w:cs="宋体"/>
              </w:rPr>
            </w:pPr>
            <w:r>
              <w:rPr>
                <w:rFonts w:hint="eastAsia" w:ascii="仿宋" w:hAnsi="仿宋" w:eastAsia="仿宋" w:cs="宋体"/>
              </w:rPr>
              <w:t>90%＞结果≥85%，得1分；</w:t>
            </w:r>
          </w:p>
          <w:p>
            <w:pPr>
              <w:spacing w:line="260" w:lineRule="exact"/>
              <w:rPr>
                <w:rFonts w:hint="eastAsia" w:ascii="仿宋" w:hAnsi="仿宋" w:eastAsia="仿宋" w:cs="宋体"/>
              </w:rPr>
            </w:pPr>
            <w:r>
              <w:rPr>
                <w:rFonts w:hint="eastAsia" w:ascii="仿宋" w:hAnsi="仿宋" w:eastAsia="仿宋" w:cs="Arial"/>
              </w:rPr>
              <w:t>结果＜</w:t>
            </w:r>
            <w:r>
              <w:rPr>
                <w:rFonts w:hint="eastAsia" w:ascii="仿宋" w:hAnsi="仿宋" w:eastAsia="仿宋" w:cs="宋体"/>
              </w:rPr>
              <w:t>85%得0分。</w:t>
            </w:r>
          </w:p>
        </w:tc>
        <w:tc>
          <w:tcPr>
            <w:tcW w:w="794" w:type="dxa"/>
            <w:tcBorders>
              <w:top w:val="single" w:color="000000" w:sz="4" w:space="0"/>
              <w:left w:val="nil"/>
              <w:bottom w:val="single" w:color="auto"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sz w:val="20"/>
                <w:szCs w:val="20"/>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项目质量达标率（4分）</w:t>
            </w:r>
          </w:p>
        </w:tc>
        <w:tc>
          <w:tcPr>
            <w:tcW w:w="453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部门已完成项目中质量达标项目个数占已完成项目个数的比率,用以反映和评价部门履职质量目标的实现程度。</w:t>
            </w:r>
          </w:p>
          <w:p>
            <w:pPr>
              <w:spacing w:line="340" w:lineRule="exact"/>
              <w:rPr>
                <w:rFonts w:hint="eastAsia" w:ascii="仿宋" w:hAnsi="仿宋" w:eastAsia="仿宋" w:cs="宋体"/>
              </w:rPr>
            </w:pPr>
            <w:r>
              <w:rPr>
                <w:rFonts w:hint="eastAsia" w:ascii="仿宋" w:hAnsi="仿宋" w:eastAsia="仿宋" w:cs="Arial"/>
              </w:rPr>
              <w:t>项目质量达标率=（已完成项目中质量达标项目个数/已完成项目个数）×100%。</w:t>
            </w:r>
          </w:p>
          <w:p>
            <w:pPr>
              <w:spacing w:line="340" w:lineRule="exact"/>
              <w:rPr>
                <w:rFonts w:hint="eastAsia" w:ascii="仿宋" w:hAnsi="仿宋" w:eastAsia="仿宋" w:cs="宋体"/>
              </w:rPr>
            </w:pPr>
            <w:r>
              <w:rPr>
                <w:rFonts w:hint="eastAsia" w:ascii="仿宋" w:hAnsi="仿宋" w:eastAsia="仿宋" w:cs="Arial"/>
              </w:rPr>
              <w:t>项目质量达标是指项目决算验收合格。</w:t>
            </w:r>
          </w:p>
        </w:tc>
        <w:tc>
          <w:tcPr>
            <w:tcW w:w="228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宋体"/>
              </w:rPr>
              <w:t>目标值100%；以4分为上限，采用完成比率法计分：得分=项目质量达标率×4，</w:t>
            </w:r>
            <w:r>
              <w:rPr>
                <w:rFonts w:hint="eastAsia" w:ascii="仿宋" w:hAnsi="仿宋" w:eastAsia="仿宋" w:cs="Arial"/>
              </w:rPr>
              <w:t>≤</w:t>
            </w:r>
            <w:r>
              <w:rPr>
                <w:rFonts w:hint="eastAsia" w:ascii="仿宋" w:hAnsi="仿宋" w:eastAsia="仿宋" w:cs="宋体"/>
              </w:rPr>
              <w:t>95%的扣4分。</w:t>
            </w:r>
          </w:p>
        </w:tc>
        <w:tc>
          <w:tcPr>
            <w:tcW w:w="794" w:type="dxa"/>
            <w:tcBorders>
              <w:top w:val="single" w:color="000000" w:sz="4" w:space="0"/>
              <w:left w:val="nil"/>
              <w:bottom w:val="single" w:color="auto"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sz w:val="20"/>
                <w:szCs w:val="20"/>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重点工作办结率（4分）</w:t>
            </w:r>
          </w:p>
        </w:tc>
        <w:tc>
          <w:tcPr>
            <w:tcW w:w="453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部门年度重点工作实际完成数与交办或下达数的比率，用以反映部门对重点工作的办理落实程度。</w:t>
            </w:r>
          </w:p>
          <w:p>
            <w:pPr>
              <w:spacing w:line="340" w:lineRule="exact"/>
              <w:rPr>
                <w:rFonts w:hint="eastAsia" w:ascii="仿宋" w:hAnsi="仿宋" w:eastAsia="仿宋" w:cs="Arial"/>
              </w:rPr>
            </w:pPr>
            <w:r>
              <w:rPr>
                <w:rFonts w:hint="eastAsia" w:ascii="仿宋" w:hAnsi="仿宋" w:eastAsia="仿宋" w:cs="Arial"/>
              </w:rPr>
              <w:t>重点工作办结率=（重点工作实际完成数/交办或下达数）×100%。</w:t>
            </w:r>
          </w:p>
          <w:p>
            <w:pPr>
              <w:spacing w:line="340" w:lineRule="exact"/>
              <w:rPr>
                <w:rFonts w:hint="eastAsia" w:ascii="仿宋" w:hAnsi="仿宋" w:eastAsia="仿宋" w:cs="Arial"/>
              </w:rPr>
            </w:pPr>
            <w:r>
              <w:rPr>
                <w:rFonts w:hint="eastAsia" w:ascii="仿宋" w:hAnsi="仿宋" w:eastAsia="仿宋" w:cs="Arial"/>
              </w:rPr>
              <w:t>重点工作是指党委、政府、人大、相关部门交办或下达的工作任务。</w:t>
            </w:r>
          </w:p>
        </w:tc>
        <w:tc>
          <w:tcPr>
            <w:tcW w:w="228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宋体"/>
              </w:rPr>
              <w:t>目标值100%；以4分为上限，采用完成比率法计分：得分=重点工作办结率×4，</w:t>
            </w:r>
            <w:r>
              <w:rPr>
                <w:rFonts w:hint="eastAsia" w:ascii="仿宋" w:hAnsi="仿宋" w:eastAsia="仿宋" w:cs="Arial"/>
              </w:rPr>
              <w:t>≤</w:t>
            </w:r>
            <w:r>
              <w:rPr>
                <w:rFonts w:hint="eastAsia" w:ascii="仿宋" w:hAnsi="仿宋" w:eastAsia="仿宋" w:cs="宋体"/>
              </w:rPr>
              <w:t>90%的扣4分。</w:t>
            </w:r>
          </w:p>
        </w:tc>
        <w:tc>
          <w:tcPr>
            <w:tcW w:w="794" w:type="dxa"/>
            <w:tcBorders>
              <w:top w:val="single" w:color="000000" w:sz="4" w:space="0"/>
              <w:left w:val="nil"/>
              <w:bottom w:val="single" w:color="auto"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sz w:val="20"/>
                <w:szCs w:val="20"/>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sz w:val="24"/>
                <w:szCs w:val="24"/>
              </w:rPr>
            </w:pPr>
          </w:p>
        </w:tc>
        <w:tc>
          <w:tcPr>
            <w:tcW w:w="8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部门绩效自评项目占比率（3分）</w:t>
            </w:r>
          </w:p>
        </w:tc>
        <w:tc>
          <w:tcPr>
            <w:tcW w:w="453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部门自评项目在所有项目中所占的份额，反映和评价部门对项目自评的重视程度。</w:t>
            </w:r>
          </w:p>
          <w:p>
            <w:pPr>
              <w:spacing w:line="340" w:lineRule="exact"/>
              <w:rPr>
                <w:rFonts w:hint="eastAsia" w:ascii="仿宋" w:hAnsi="仿宋" w:eastAsia="仿宋" w:cs="宋体"/>
              </w:rPr>
            </w:pPr>
            <w:r>
              <w:rPr>
                <w:rFonts w:hint="eastAsia" w:ascii="仿宋" w:hAnsi="仿宋" w:eastAsia="仿宋" w:cs="Arial"/>
              </w:rPr>
              <w:t>占比率=(自评项目资金量/项目支出资金量)×100%。</w:t>
            </w:r>
          </w:p>
          <w:p>
            <w:pPr>
              <w:spacing w:line="340" w:lineRule="exact"/>
              <w:rPr>
                <w:rFonts w:hint="eastAsia" w:ascii="仿宋" w:hAnsi="仿宋" w:eastAsia="仿宋" w:cs="宋体"/>
              </w:rPr>
            </w:pPr>
            <w:r>
              <w:rPr>
                <w:rFonts w:hint="eastAsia" w:ascii="仿宋" w:hAnsi="仿宋" w:eastAsia="仿宋" w:cs="Arial"/>
              </w:rPr>
              <w:t>部门支出项目绩效自评范围：本年度列入本级财政预算安排的项目。</w:t>
            </w:r>
          </w:p>
        </w:tc>
        <w:tc>
          <w:tcPr>
            <w:tcW w:w="2286" w:type="dxa"/>
            <w:tcBorders>
              <w:top w:val="single" w:color="000000" w:sz="4" w:space="0"/>
              <w:left w:val="nil"/>
              <w:bottom w:val="single" w:color="auto"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达到目标值得3分，未达到目标值</w:t>
            </w:r>
            <w:r>
              <w:rPr>
                <w:rFonts w:hint="eastAsia" w:ascii="仿宋" w:hAnsi="仿宋" w:eastAsia="仿宋" w:cs="宋体"/>
              </w:rPr>
              <w:t>采用完成比率法计分：</w:t>
            </w:r>
            <w:r>
              <w:rPr>
                <w:rFonts w:hint="eastAsia" w:ascii="仿宋" w:hAnsi="仿宋" w:eastAsia="仿宋" w:cs="Arial"/>
              </w:rPr>
              <w:t>得分=占比率/目标值×3，超过目标值不加分。</w:t>
            </w:r>
          </w:p>
        </w:tc>
        <w:tc>
          <w:tcPr>
            <w:tcW w:w="794" w:type="dxa"/>
            <w:tcBorders>
              <w:top w:val="single" w:color="000000" w:sz="4" w:space="0"/>
              <w:left w:val="nil"/>
              <w:bottom w:val="single" w:color="auto" w:sz="4" w:space="0"/>
              <w:right w:val="single" w:color="000000" w:sz="4" w:space="0"/>
            </w:tcBorders>
            <w:vAlign w:val="center"/>
          </w:tcPr>
          <w:p>
            <w:pPr>
              <w:spacing w:line="340" w:lineRule="exact"/>
              <w:ind w:firstLine="100" w:firstLineChars="50"/>
              <w:rPr>
                <w:rFonts w:hint="eastAsia" w:ascii="宋体" w:hAnsi="宋体" w:eastAsia="宋体"/>
                <w:sz w:val="20"/>
                <w:szCs w:val="20"/>
                <w:lang w:eastAsia="zh-CN"/>
              </w:rPr>
            </w:pPr>
            <w:r>
              <w:rPr>
                <w:rFonts w:hint="eastAsia" w:ascii="宋体" w:hAnsi="宋体"/>
                <w:sz w:val="20"/>
                <w:szCs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769" w:type="dxa"/>
            <w:vMerge w:val="restart"/>
            <w:tcBorders>
              <w:top w:val="nil"/>
              <w:left w:val="single" w:color="000000" w:sz="4" w:space="0"/>
              <w:bottom w:val="single" w:color="000000" w:sz="4" w:space="0"/>
              <w:right w:val="single" w:color="000000" w:sz="4" w:space="0"/>
            </w:tcBorders>
            <w:vAlign w:val="center"/>
          </w:tcPr>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r>
              <w:rPr>
                <w:rFonts w:hint="eastAsia" w:ascii="仿宋" w:hAnsi="仿宋" w:eastAsia="仿宋" w:cs="Arial"/>
                <w:sz w:val="24"/>
                <w:szCs w:val="24"/>
              </w:rPr>
              <w:t>效果（15）</w:t>
            </w: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Arial"/>
                <w:sz w:val="24"/>
                <w:szCs w:val="24"/>
              </w:rPr>
            </w:pPr>
          </w:p>
          <w:p>
            <w:pPr>
              <w:spacing w:line="340" w:lineRule="exact"/>
              <w:rPr>
                <w:rFonts w:hint="eastAsia" w:ascii="仿宋" w:hAnsi="仿宋" w:eastAsia="仿宋" w:cs="宋体"/>
                <w:sz w:val="24"/>
                <w:szCs w:val="24"/>
              </w:rPr>
            </w:pPr>
          </w:p>
        </w:tc>
        <w:tc>
          <w:tcPr>
            <w:tcW w:w="880" w:type="dxa"/>
            <w:tcBorders>
              <w:top w:val="single" w:color="auto" w:sz="4" w:space="0"/>
              <w:left w:val="single" w:color="000000" w:sz="4" w:space="0"/>
              <w:bottom w:val="single" w:color="auto" w:sz="4" w:space="0"/>
              <w:right w:val="single" w:color="000000" w:sz="4" w:space="0"/>
            </w:tcBorders>
            <w:vAlign w:val="center"/>
          </w:tcPr>
          <w:p>
            <w:pPr>
              <w:spacing w:line="340" w:lineRule="exact"/>
              <w:rPr>
                <w:rFonts w:hint="eastAsia" w:ascii="仿宋" w:hAnsi="仿宋" w:eastAsia="仿宋" w:cs="Arial"/>
                <w:sz w:val="24"/>
                <w:szCs w:val="24"/>
              </w:rPr>
            </w:pPr>
            <w:r>
              <w:rPr>
                <w:rFonts w:hint="eastAsia" w:ascii="仿宋" w:hAnsi="仿宋" w:eastAsia="仿宋" w:cs="Arial"/>
                <w:sz w:val="24"/>
                <w:szCs w:val="24"/>
              </w:rPr>
              <w:t>监督发现问题</w:t>
            </w:r>
          </w:p>
          <w:p>
            <w:pPr>
              <w:spacing w:line="340" w:lineRule="exact"/>
              <w:rPr>
                <w:rFonts w:hint="eastAsia" w:ascii="仿宋" w:hAnsi="仿宋" w:eastAsia="仿宋" w:cs="Arial"/>
                <w:sz w:val="24"/>
                <w:szCs w:val="24"/>
              </w:rPr>
            </w:pPr>
            <w:r>
              <w:rPr>
                <w:rFonts w:hint="eastAsia" w:ascii="仿宋" w:hAnsi="仿宋" w:eastAsia="仿宋" w:cs="Arial"/>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违规率（2分）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部门存在违规问题的资金数量占部门预算支出资金总额的比重，用以反映和考核部门预算资金管理使用的合法、合规情况。</w:t>
            </w:r>
          </w:p>
          <w:p>
            <w:pPr>
              <w:spacing w:line="340" w:lineRule="exact"/>
              <w:rPr>
                <w:rFonts w:hint="eastAsia" w:ascii="仿宋" w:hAnsi="仿宋" w:eastAsia="仿宋" w:cs="Arial"/>
              </w:rPr>
            </w:pPr>
            <w:r>
              <w:rPr>
                <w:rFonts w:hint="eastAsia" w:ascii="仿宋" w:hAnsi="仿宋" w:eastAsia="仿宋" w:cs="Arial"/>
              </w:rPr>
              <w:t>违规率=存在违规问题的资金额/部门预算支出资金总额×100%</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宋体"/>
              </w:rPr>
              <w:t>目标值0，</w:t>
            </w:r>
            <w:r>
              <w:rPr>
                <w:rFonts w:hint="eastAsia" w:ascii="仿宋" w:hAnsi="仿宋" w:eastAsia="仿宋" w:cs="Arial"/>
              </w:rPr>
              <w:t>达到目标值得2分，未达到目标值的每增加0.1个百分点扣0.1分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宋体" w:hAnsi="宋体"/>
                <w:sz w:val="20"/>
                <w:szCs w:val="20"/>
              </w:rPr>
              <w: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tcBorders>
              <w:top w:val="single" w:color="auto" w:sz="4" w:space="0"/>
              <w:left w:val="single" w:color="000000" w:sz="4" w:space="0"/>
              <w:bottom w:val="single" w:color="auto"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仿宋" w:hAnsi="仿宋" w:eastAsia="仿宋" w:cs="Arial"/>
                <w:sz w:val="24"/>
                <w:szCs w:val="24"/>
              </w:rPr>
              <w:t>工作成效（5）</w:t>
            </w: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宋体"/>
                <w:bCs/>
                <w:color w:val="000000"/>
              </w:rPr>
              <w:t>部门预算绩效管理考核评价</w:t>
            </w:r>
            <w:r>
              <w:rPr>
                <w:rFonts w:hint="eastAsia" w:ascii="仿宋" w:hAnsi="仿宋" w:eastAsia="仿宋" w:cs="Arial"/>
                <w:bCs/>
              </w:rPr>
              <w:t>（5）</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宋体"/>
                <w:color w:val="000000"/>
              </w:rPr>
              <w:t>财政部门对部门开展预算绩效管理工作的评价结果，用以反映部门对预算绩效管理工作的重视程度和取得的成效。</w:t>
            </w:r>
          </w:p>
          <w:p>
            <w:pPr>
              <w:spacing w:line="340" w:lineRule="exact"/>
              <w:rPr>
                <w:rFonts w:hint="eastAsia" w:ascii="仿宋" w:hAnsi="仿宋" w:eastAsia="仿宋" w:cs="宋体"/>
              </w:rPr>
            </w:pPr>
            <w:r>
              <w:rPr>
                <w:rFonts w:hint="eastAsia" w:ascii="仿宋" w:hAnsi="仿宋" w:eastAsia="仿宋" w:cs="宋体"/>
                <w:color w:val="000000"/>
              </w:rPr>
              <w:t>1.财政部门对部门绩效管理工作开展情况进行核查评价，包括绩效目标管理、绩效执行监控、绩效自评和评价结果应用等情况，按百分制。</w:t>
            </w:r>
          </w:p>
          <w:p>
            <w:pPr>
              <w:spacing w:line="340" w:lineRule="exact"/>
              <w:rPr>
                <w:rFonts w:hint="eastAsia" w:ascii="仿宋" w:hAnsi="仿宋" w:eastAsia="仿宋" w:cs="宋体"/>
              </w:rPr>
            </w:pPr>
            <w:r>
              <w:rPr>
                <w:rFonts w:hint="eastAsia" w:ascii="仿宋" w:hAnsi="仿宋" w:eastAsia="仿宋" w:cs="宋体"/>
                <w:color w:val="000000"/>
              </w:rPr>
              <w:t>2.以部门为单位进行综合计算，得出各部门绩效管理工作评价结果。</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宋体"/>
                <w:color w:val="000000"/>
              </w:rPr>
              <w:t>综合得分=（部门绩效管理工作评价结果/100）*5分</w:t>
            </w:r>
          </w:p>
          <w:p>
            <w:pPr>
              <w:spacing w:line="340" w:lineRule="exact"/>
              <w:rPr>
                <w:rFonts w:hint="eastAsia" w:ascii="仿宋" w:hAnsi="仿宋" w:eastAsia="仿宋" w:cs="宋体"/>
              </w:rPr>
            </w:pPr>
            <w:r>
              <w:rPr>
                <w:rFonts w:hint="eastAsia" w:ascii="宋体" w:hAnsi="宋体" w:eastAsia="仿宋"/>
              </w:rPr>
              <w:t> </w:t>
            </w:r>
          </w:p>
        </w:tc>
        <w:tc>
          <w:tcPr>
            <w:tcW w:w="794" w:type="dxa"/>
            <w:tcBorders>
              <w:top w:val="single" w:color="000000" w:sz="4" w:space="0"/>
              <w:left w:val="nil"/>
              <w:bottom w:val="single" w:color="000000" w:sz="4" w:space="0"/>
              <w:right w:val="single" w:color="000000" w:sz="4" w:space="0"/>
            </w:tcBorders>
            <w:vAlign w:val="center"/>
          </w:tcPr>
          <w:p>
            <w:pPr>
              <w:spacing w:line="340" w:lineRule="exact"/>
              <w:ind w:firstLine="200" w:firstLineChars="100"/>
              <w:rPr>
                <w:rFonts w:hint="eastAsia" w:ascii="宋体" w:hAnsi="宋体"/>
                <w:sz w:val="20"/>
                <w:szCs w:val="20"/>
              </w:rPr>
            </w:pPr>
            <w:r>
              <w:rPr>
                <w:rFonts w:hint="eastAsia" w:ascii="宋体" w:hAnsi="宋体"/>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tcBorders>
              <w:top w:val="single" w:color="auto" w:sz="4" w:space="0"/>
              <w:left w:val="single" w:color="000000" w:sz="4" w:space="0"/>
              <w:bottom w:val="single" w:color="auto" w:sz="4" w:space="0"/>
              <w:right w:val="single" w:color="000000" w:sz="4" w:space="0"/>
            </w:tcBorders>
            <w:vAlign w:val="center"/>
          </w:tcPr>
          <w:p>
            <w:pPr>
              <w:spacing w:line="340" w:lineRule="exact"/>
              <w:rPr>
                <w:rFonts w:hint="eastAsia" w:ascii="仿宋" w:hAnsi="仿宋" w:eastAsia="仿宋" w:cs="Arial"/>
                <w:sz w:val="24"/>
                <w:szCs w:val="24"/>
              </w:rPr>
            </w:pPr>
            <w:r>
              <w:rPr>
                <w:rFonts w:hint="eastAsia" w:ascii="仿宋" w:hAnsi="仿宋" w:eastAsia="仿宋" w:cs="Arial"/>
                <w:sz w:val="24"/>
                <w:szCs w:val="24"/>
              </w:rPr>
              <w:t>评价结果应用</w:t>
            </w:r>
          </w:p>
          <w:p>
            <w:pPr>
              <w:spacing w:line="340" w:lineRule="exact"/>
              <w:rPr>
                <w:rFonts w:hint="eastAsia" w:ascii="仿宋" w:hAnsi="仿宋" w:eastAsia="仿宋" w:cs="Arial"/>
                <w:sz w:val="24"/>
                <w:szCs w:val="24"/>
              </w:rPr>
            </w:pPr>
            <w:r>
              <w:rPr>
                <w:rFonts w:hint="eastAsia" w:ascii="仿宋" w:hAnsi="仿宋" w:eastAsia="仿宋" w:cs="Arial"/>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应用率（2分）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部门应用绩效评价结果的项目数占绩效评价项目数的比重，用以反映和考核部门绩效评价结果的利用水平和程度。</w:t>
            </w:r>
          </w:p>
          <w:p>
            <w:pPr>
              <w:spacing w:line="340" w:lineRule="exact"/>
              <w:rPr>
                <w:rFonts w:hint="eastAsia" w:ascii="仿宋" w:hAnsi="仿宋" w:eastAsia="仿宋" w:cs="Arial"/>
              </w:rPr>
            </w:pPr>
            <w:r>
              <w:rPr>
                <w:rFonts w:hint="eastAsia" w:ascii="仿宋" w:hAnsi="仿宋" w:eastAsia="仿宋" w:cs="Arial"/>
              </w:rPr>
              <w:t>应用率=应用绩效评价结果的项目数量/部门实施绩效评价项目数量×100%。</w:t>
            </w:r>
          </w:p>
          <w:p>
            <w:pPr>
              <w:spacing w:line="340" w:lineRule="exact"/>
              <w:rPr>
                <w:rFonts w:hint="eastAsia" w:ascii="仿宋" w:hAnsi="仿宋" w:eastAsia="仿宋" w:cs="Arial"/>
              </w:rPr>
            </w:pPr>
            <w:r>
              <w:rPr>
                <w:rFonts w:hint="eastAsia" w:ascii="仿宋" w:hAnsi="仿宋" w:eastAsia="仿宋" w:cs="Arial"/>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目标值为100%；以2分为上限，采用完成比率法计分：得分=应用率×2，超出目标值不加分。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ind w:firstLine="200" w:firstLineChars="100"/>
              <w:rPr>
                <w:rFonts w:hint="eastAsia" w:ascii="宋体" w:hAnsi="宋体"/>
                <w:sz w:val="20"/>
                <w:szCs w:val="20"/>
              </w:rPr>
            </w:pPr>
            <w:r>
              <w:rPr>
                <w:rFonts w:hint="eastAsia" w:ascii="宋体" w:hAnsi="宋体"/>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2"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tcBorders>
              <w:top w:val="single" w:color="auto" w:sz="4" w:space="0"/>
              <w:left w:val="single" w:color="000000" w:sz="4" w:space="0"/>
              <w:bottom w:val="single" w:color="auto" w:sz="4" w:space="0"/>
              <w:right w:val="single" w:color="000000" w:sz="4" w:space="0"/>
            </w:tcBorders>
            <w:vAlign w:val="center"/>
          </w:tcPr>
          <w:p>
            <w:pPr>
              <w:spacing w:line="340" w:lineRule="exact"/>
              <w:rPr>
                <w:rFonts w:hint="eastAsia" w:ascii="仿宋" w:hAnsi="仿宋" w:eastAsia="仿宋" w:cs="Arial"/>
                <w:sz w:val="24"/>
                <w:szCs w:val="24"/>
              </w:rPr>
            </w:pPr>
            <w:r>
              <w:rPr>
                <w:rFonts w:hint="eastAsia" w:ascii="仿宋" w:hAnsi="仿宋" w:eastAsia="仿宋" w:cs="Arial"/>
                <w:sz w:val="24"/>
                <w:szCs w:val="24"/>
              </w:rPr>
              <w:t>结果应用创新（1分）</w:t>
            </w: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结果应用创新（1分）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部门将绩效结果主动对外公开、预算绩效管理工作开展情况向同级政府、人大等部门报告，用以反映和考核部门在结果应用方面的创新情况。</w:t>
            </w:r>
          </w:p>
          <w:p>
            <w:pPr>
              <w:spacing w:line="340" w:lineRule="exact"/>
              <w:rPr>
                <w:rFonts w:hint="eastAsia" w:ascii="仿宋" w:hAnsi="仿宋" w:eastAsia="仿宋" w:cs="Arial"/>
              </w:rPr>
            </w:pPr>
            <w:r>
              <w:rPr>
                <w:rFonts w:hint="eastAsia" w:ascii="仿宋" w:hAnsi="仿宋" w:eastAsia="仿宋" w:cs="Arial"/>
              </w:rPr>
              <w:t>评价要点：</w:t>
            </w:r>
          </w:p>
          <w:p>
            <w:pPr>
              <w:spacing w:line="340" w:lineRule="exact"/>
              <w:rPr>
                <w:rFonts w:hint="eastAsia" w:ascii="仿宋" w:hAnsi="仿宋" w:eastAsia="仿宋" w:cs="Arial"/>
              </w:rPr>
            </w:pPr>
            <w:r>
              <w:rPr>
                <w:rFonts w:hint="eastAsia" w:ascii="仿宋" w:hAnsi="仿宋" w:eastAsia="仿宋" w:cs="Arial"/>
              </w:rPr>
              <w:t>1.部门是否按要求对社会公开绩效评价结果。</w:t>
            </w:r>
          </w:p>
          <w:p>
            <w:pPr>
              <w:spacing w:line="340" w:lineRule="exact"/>
              <w:rPr>
                <w:rFonts w:hint="eastAsia" w:ascii="仿宋" w:hAnsi="仿宋" w:eastAsia="仿宋" w:cs="Arial"/>
              </w:rPr>
            </w:pPr>
            <w:r>
              <w:rPr>
                <w:rFonts w:hint="eastAsia" w:ascii="仿宋" w:hAnsi="仿宋" w:eastAsia="仿宋" w:cs="Arial"/>
              </w:rPr>
              <w:t>2.部门是否将预算绩效管理工作开展情况向同级政府、人大等部门报告。</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全部符合（1分）；</w:t>
            </w:r>
          </w:p>
          <w:p>
            <w:pPr>
              <w:spacing w:line="340" w:lineRule="exact"/>
              <w:rPr>
                <w:rFonts w:hint="eastAsia" w:ascii="仿宋" w:hAnsi="仿宋" w:eastAsia="仿宋" w:cs="宋体"/>
              </w:rPr>
            </w:pPr>
            <w:r>
              <w:rPr>
                <w:rFonts w:hint="eastAsia" w:ascii="仿宋" w:hAnsi="仿宋" w:eastAsia="仿宋" w:cs="Arial"/>
              </w:rPr>
              <w:t>符合其中两项（0.5分）</w:t>
            </w:r>
          </w:p>
          <w:p>
            <w:pPr>
              <w:spacing w:line="340" w:lineRule="exact"/>
              <w:rPr>
                <w:rFonts w:hint="eastAsia" w:ascii="仿宋" w:hAnsi="仿宋" w:eastAsia="仿宋" w:cs="Arial"/>
              </w:rPr>
            </w:pPr>
            <w:r>
              <w:rPr>
                <w:rFonts w:hint="eastAsia" w:ascii="仿宋" w:hAnsi="仿宋" w:eastAsia="仿宋" w:cs="Arial"/>
              </w:rPr>
              <w:t>符合其中一项及以下（0分）。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ind w:firstLine="200" w:firstLineChars="100"/>
              <w:rPr>
                <w:rFonts w:hint="eastAsia" w:ascii="宋体" w:hAnsi="宋体"/>
                <w:sz w:val="20"/>
                <w:szCs w:val="20"/>
              </w:rPr>
            </w:pPr>
            <w:r>
              <w:rPr>
                <w:rFonts w:hint="eastAsia" w:ascii="宋体" w:hAnsi="宋体"/>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6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sz w:val="24"/>
                <w:szCs w:val="24"/>
              </w:rPr>
            </w:pPr>
          </w:p>
        </w:tc>
        <w:tc>
          <w:tcPr>
            <w:tcW w:w="880" w:type="dxa"/>
            <w:tcBorders>
              <w:top w:val="single" w:color="auto" w:sz="4" w:space="0"/>
              <w:left w:val="single" w:color="000000" w:sz="4" w:space="0"/>
              <w:bottom w:val="single" w:color="auto"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仿宋" w:hAnsi="仿宋" w:eastAsia="仿宋" w:cs="Arial"/>
                <w:sz w:val="24"/>
                <w:szCs w:val="24"/>
              </w:rPr>
              <w:t>社会效益（5分）</w:t>
            </w: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社会公众满意度（5分）</w:t>
            </w: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通过问卷调查了解社会公众对部门履职效果、解决民众关心的热点问题、厉行节约等方面的满意程度，反映和评价部门支出所带来的社会效益。</w:t>
            </w: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宋体"/>
              </w:rPr>
            </w:pPr>
            <w:r>
              <w:rPr>
                <w:rFonts w:hint="eastAsia" w:ascii="仿宋" w:hAnsi="仿宋" w:eastAsia="仿宋" w:cs="Arial"/>
              </w:rPr>
              <w:t>按照满意度调查的优秀、良好、合格、不合格给予该项指标打分：</w:t>
            </w:r>
          </w:p>
          <w:p>
            <w:pPr>
              <w:spacing w:line="340" w:lineRule="exact"/>
              <w:rPr>
                <w:rFonts w:hint="eastAsia" w:ascii="仿宋" w:hAnsi="仿宋" w:eastAsia="仿宋" w:cs="宋体"/>
              </w:rPr>
            </w:pPr>
            <w:r>
              <w:rPr>
                <w:rFonts w:hint="eastAsia" w:ascii="仿宋" w:hAnsi="仿宋" w:eastAsia="仿宋" w:cs="Arial"/>
              </w:rPr>
              <w:t>优秀（5分）；良好（3分）；合格（1分）；不合格（0分）。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ind w:firstLine="200" w:firstLineChars="100"/>
              <w:rPr>
                <w:rFonts w:hint="eastAsia" w:ascii="宋体" w:hAnsi="宋体"/>
                <w:sz w:val="20"/>
                <w:szCs w:val="20"/>
              </w:rPr>
            </w:pPr>
            <w:r>
              <w:rPr>
                <w:rFonts w:hint="eastAsia" w:ascii="宋体" w:hAnsi="宋体"/>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仿宋" w:hAnsi="仿宋" w:eastAsia="仿宋" w:cs="宋体"/>
                <w:sz w:val="24"/>
                <w:szCs w:val="24"/>
              </w:rPr>
              <w:t>小计</w:t>
            </w:r>
          </w:p>
        </w:tc>
        <w:tc>
          <w:tcPr>
            <w:tcW w:w="880" w:type="dxa"/>
            <w:tcBorders>
              <w:top w:val="single" w:color="auto" w:sz="4" w:space="0"/>
              <w:left w:val="single" w:color="000000" w:sz="4" w:space="0"/>
              <w:bottom w:val="single" w:color="auto" w:sz="4" w:space="0"/>
              <w:right w:val="single" w:color="000000" w:sz="4" w:space="0"/>
            </w:tcBorders>
            <w:vAlign w:val="center"/>
          </w:tcPr>
          <w:p>
            <w:pPr>
              <w:spacing w:line="340" w:lineRule="exact"/>
              <w:rPr>
                <w:rFonts w:hint="eastAsia" w:ascii="仿宋" w:hAnsi="仿宋" w:eastAsia="仿宋" w:cs="Arial"/>
                <w:sz w:val="24"/>
                <w:szCs w:val="24"/>
              </w:rPr>
            </w:pPr>
            <w:r>
              <w:rPr>
                <w:rFonts w:hint="eastAsia" w:ascii="仿宋" w:hAnsi="仿宋" w:eastAsia="仿宋" w:cs="Arial"/>
                <w:sz w:val="24"/>
                <w:szCs w:val="24"/>
              </w:rPr>
              <w:t>100</w:t>
            </w: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p>
        </w:tc>
        <w:tc>
          <w:tcPr>
            <w:tcW w:w="453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p>
        </w:tc>
        <w:tc>
          <w:tcPr>
            <w:tcW w:w="2286" w:type="dxa"/>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p>
        </w:tc>
        <w:tc>
          <w:tcPr>
            <w:tcW w:w="794" w:type="dxa"/>
            <w:tcBorders>
              <w:top w:val="single" w:color="000000" w:sz="4" w:space="0"/>
              <w:left w:val="nil"/>
              <w:bottom w:val="single" w:color="000000" w:sz="4" w:space="0"/>
              <w:right w:val="single" w:color="000000" w:sz="4" w:space="0"/>
            </w:tcBorders>
            <w:vAlign w:val="center"/>
          </w:tcPr>
          <w:p>
            <w:pPr>
              <w:spacing w:line="340" w:lineRule="exact"/>
              <w:ind w:firstLine="100" w:firstLineChars="50"/>
              <w:rPr>
                <w:rFonts w:hint="eastAsia" w:ascii="宋体" w:hAnsi="宋体" w:eastAsia="宋体"/>
                <w:sz w:val="20"/>
                <w:szCs w:val="20"/>
                <w:lang w:eastAsia="zh-CN"/>
              </w:rPr>
            </w:pPr>
            <w:r>
              <w:rPr>
                <w:rFonts w:hint="eastAsia" w:ascii="宋体" w:hAnsi="宋体"/>
                <w:sz w:val="20"/>
                <w:szCs w:val="20"/>
              </w:rPr>
              <w:t>9</w:t>
            </w:r>
            <w:r>
              <w:rPr>
                <w:rFonts w:hint="eastAsia" w:ascii="宋体" w:hAnsi="宋体"/>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仿宋" w:hAnsi="仿宋" w:eastAsia="仿宋" w:cs="宋体"/>
                <w:sz w:val="24"/>
                <w:szCs w:val="24"/>
              </w:rPr>
            </w:pPr>
            <w:r>
              <w:rPr>
                <w:rFonts w:hint="eastAsia" w:ascii="仿宋" w:hAnsi="仿宋" w:eastAsia="仿宋" w:cs="宋体"/>
                <w:sz w:val="24"/>
                <w:szCs w:val="24"/>
              </w:rPr>
              <w:t>评价结果</w:t>
            </w:r>
          </w:p>
        </w:tc>
        <w:tc>
          <w:tcPr>
            <w:tcW w:w="880" w:type="dxa"/>
            <w:tcBorders>
              <w:top w:val="single" w:color="auto" w:sz="4" w:space="0"/>
              <w:left w:val="single" w:color="000000" w:sz="4" w:space="0"/>
              <w:bottom w:val="single" w:color="auto" w:sz="4" w:space="0"/>
              <w:right w:val="single" w:color="000000" w:sz="4" w:space="0"/>
            </w:tcBorders>
            <w:vAlign w:val="center"/>
          </w:tcPr>
          <w:p>
            <w:pPr>
              <w:spacing w:line="340" w:lineRule="exact"/>
              <w:rPr>
                <w:rFonts w:hint="eastAsia" w:ascii="仿宋" w:hAnsi="仿宋" w:eastAsia="仿宋" w:cs="Arial"/>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hint="eastAsia" w:ascii="仿宋" w:hAnsi="仿宋" w:eastAsia="仿宋" w:cs="Arial"/>
              </w:rPr>
            </w:pPr>
          </w:p>
        </w:tc>
        <w:tc>
          <w:tcPr>
            <w:tcW w:w="6822" w:type="dxa"/>
            <w:gridSpan w:val="2"/>
            <w:tcBorders>
              <w:top w:val="single" w:color="000000" w:sz="4" w:space="0"/>
              <w:left w:val="nil"/>
              <w:bottom w:val="single" w:color="000000" w:sz="4" w:space="0"/>
              <w:right w:val="single" w:color="auto" w:sz="4" w:space="0"/>
            </w:tcBorders>
            <w:vAlign w:val="center"/>
          </w:tcPr>
          <w:p>
            <w:pPr>
              <w:spacing w:line="340" w:lineRule="exact"/>
              <w:rPr>
                <w:rFonts w:hint="eastAsia" w:ascii="仿宋" w:hAnsi="仿宋" w:eastAsia="仿宋" w:cs="Arial"/>
              </w:rPr>
            </w:pPr>
            <w:r>
              <w:rPr>
                <w:rFonts w:hint="eastAsia" w:ascii="仿宋" w:hAnsi="仿宋" w:eastAsia="仿宋" w:cs="Arial"/>
              </w:rPr>
              <w:t>□优秀  90分≤得分≤100分； □良好  80分≤得分≤89分；</w:t>
            </w:r>
          </w:p>
          <w:p>
            <w:pPr>
              <w:spacing w:line="340" w:lineRule="exact"/>
              <w:rPr>
                <w:rFonts w:hint="eastAsia" w:ascii="仿宋" w:hAnsi="仿宋" w:eastAsia="仿宋" w:cs="Arial"/>
              </w:rPr>
            </w:pPr>
            <w:r>
              <w:rPr>
                <w:rFonts w:hint="eastAsia" w:ascii="仿宋" w:hAnsi="仿宋" w:eastAsia="仿宋" w:cs="Arial"/>
              </w:rPr>
              <w:t xml:space="preserve">  □中  60分≤得分≤79分；  □较差  0≤得分≤59分</w:t>
            </w:r>
          </w:p>
        </w:tc>
        <w:tc>
          <w:tcPr>
            <w:tcW w:w="794" w:type="dxa"/>
            <w:tcBorders>
              <w:top w:val="single" w:color="000000" w:sz="4" w:space="0"/>
              <w:left w:val="nil"/>
              <w:bottom w:val="single" w:color="000000" w:sz="4" w:space="0"/>
              <w:right w:val="single" w:color="000000" w:sz="4" w:space="0"/>
            </w:tcBorders>
            <w:vAlign w:val="center"/>
          </w:tcPr>
          <w:p>
            <w:pPr>
              <w:spacing w:line="340" w:lineRule="exact"/>
              <w:rPr>
                <w:rFonts w:hint="eastAsia" w:ascii="宋体" w:hAnsi="宋体"/>
                <w:sz w:val="20"/>
                <w:szCs w:val="20"/>
              </w:rPr>
            </w:pPr>
            <w:r>
              <w:rPr>
                <w:rFonts w:hint="eastAsia" w:ascii="宋体" w:hAnsi="宋体"/>
                <w:sz w:val="20"/>
                <w:szCs w:val="20"/>
              </w:rPr>
              <w:t>优秀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mMzYyNDBhY2QxZDAzYzZmYjlmM2JkZGVhNzZmNTgifQ=="/>
  </w:docVars>
  <w:rsids>
    <w:rsidRoot w:val="00CE10E5"/>
    <w:rsid w:val="000E26C3"/>
    <w:rsid w:val="0013317A"/>
    <w:rsid w:val="00392484"/>
    <w:rsid w:val="009C072A"/>
    <w:rsid w:val="00CE10E5"/>
    <w:rsid w:val="0DBF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5545</Words>
  <Characters>5807</Characters>
  <Lines>45</Lines>
  <Paragraphs>12</Paragraphs>
  <TotalTime>6</TotalTime>
  <ScaleCrop>false</ScaleCrop>
  <LinksUpToDate>false</LinksUpToDate>
  <CharactersWithSpaces>5839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2023-02-03T09:58:00Z</dcterms:created>
  <dc:creator>3291</dc:creator>
  <cp:lastModifiedBy>小雨</cp:lastModifiedBy>
  <dcterms:modified xsi:type="dcterms:W3CDTF">2023-09-06T01:21:57Z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F62A1A595773471E85B590E96B57EC4C_12</vt:lpwstr>
  </property>
</Properties>
</file>