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hint="eastAsia" w:ascii="宋体" w:hAnsi="宋体" w:eastAsia="宋体" w:cs="宋体"/>
          <w:b/>
          <w:kern w:val="0"/>
          <w:sz w:val="44"/>
          <w:szCs w:val="44"/>
        </w:rPr>
      </w:pPr>
    </w:p>
    <w:p>
      <w:pPr>
        <w:adjustRightInd w:val="0"/>
        <w:snapToGrid w:val="0"/>
        <w:spacing w:line="560" w:lineRule="atLeast"/>
        <w:jc w:val="center"/>
        <w:rPr>
          <w:rFonts w:hint="eastAsia" w:ascii="宋体" w:hAnsi="宋体" w:eastAsia="宋体" w:cs="宋体"/>
          <w:b/>
          <w:kern w:val="0"/>
          <w:sz w:val="44"/>
          <w:szCs w:val="44"/>
        </w:rPr>
      </w:pPr>
      <w:r>
        <w:rPr>
          <w:rFonts w:hint="eastAsia" w:ascii="宋体" w:hAnsi="宋体" w:eastAsia="宋体" w:cs="宋体"/>
          <w:b/>
          <w:kern w:val="0"/>
          <w:sz w:val="44"/>
          <w:szCs w:val="44"/>
        </w:rPr>
        <w:t>部门整体支出绩效评价报告</w:t>
      </w:r>
    </w:p>
    <w:p>
      <w:pPr>
        <w:adjustRightInd w:val="0"/>
        <w:snapToGrid w:val="0"/>
        <w:spacing w:line="560" w:lineRule="atLeast"/>
        <w:jc w:val="center"/>
        <w:rPr>
          <w:rFonts w:hint="eastAsia" w:ascii="宋体" w:hAnsi="宋体" w:eastAsia="宋体" w:cs="宋体"/>
          <w:b/>
          <w:kern w:val="0"/>
          <w:sz w:val="32"/>
          <w:szCs w:val="32"/>
        </w:rPr>
      </w:pPr>
    </w:p>
    <w:p>
      <w:pPr>
        <w:adjustRightInd w:val="0"/>
        <w:snapToGrid w:val="0"/>
        <w:spacing w:line="540" w:lineRule="atLeast"/>
        <w:ind w:firstLine="643" w:firstLineChars="200"/>
        <w:rPr>
          <w:rFonts w:hint="eastAsia" w:ascii="宋体" w:hAnsi="宋体" w:eastAsia="宋体" w:cs="宋体"/>
          <w:b/>
          <w:sz w:val="32"/>
          <w:szCs w:val="32"/>
        </w:rPr>
      </w:pPr>
      <w:r>
        <w:rPr>
          <w:rFonts w:hint="eastAsia" w:ascii="宋体" w:hAnsi="宋体" w:eastAsia="宋体" w:cs="宋体"/>
          <w:b/>
          <w:sz w:val="32"/>
          <w:szCs w:val="32"/>
        </w:rPr>
        <w:t>一、部门基本情况</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w:t>
      </w:r>
      <w:r>
        <w:rPr>
          <w:rFonts w:hint="eastAsia" w:ascii="仿宋" w:hAnsi="仿宋" w:eastAsia="仿宋" w:cs="仿宋"/>
          <w:b/>
          <w:bCs/>
          <w:kern w:val="0"/>
          <w:sz w:val="30"/>
          <w:szCs w:val="30"/>
        </w:rPr>
        <w:t>部门职能与机构设置</w:t>
      </w:r>
    </w:p>
    <w:p>
      <w:pPr>
        <w:widowControl/>
        <w:spacing w:line="600" w:lineRule="exac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机构设置情况：辰溪县</w:t>
      </w:r>
      <w:r>
        <w:rPr>
          <w:rFonts w:hint="eastAsia" w:ascii="仿宋" w:hAnsi="仿宋" w:eastAsia="仿宋" w:cs="仿宋"/>
          <w:kern w:val="0"/>
          <w:sz w:val="30"/>
          <w:szCs w:val="30"/>
          <w:lang w:eastAsia="zh-CN"/>
        </w:rPr>
        <w:t>龙</w:t>
      </w:r>
      <w:r>
        <w:rPr>
          <w:rFonts w:hint="eastAsia" w:ascii="仿宋" w:hAnsi="仿宋" w:eastAsia="仿宋" w:cs="仿宋"/>
          <w:kern w:val="0"/>
          <w:sz w:val="30"/>
          <w:szCs w:val="30"/>
          <w:lang w:val="en-US" w:eastAsia="zh-CN"/>
        </w:rPr>
        <w:t>泉岩</w:t>
      </w:r>
      <w:r>
        <w:rPr>
          <w:rFonts w:hint="eastAsia" w:ascii="仿宋" w:hAnsi="仿宋" w:eastAsia="仿宋" w:cs="仿宋"/>
          <w:kern w:val="0"/>
          <w:sz w:val="30"/>
          <w:szCs w:val="30"/>
          <w:lang w:eastAsia="zh-CN"/>
        </w:rPr>
        <w:t>乡</w:t>
      </w:r>
      <w:r>
        <w:rPr>
          <w:rFonts w:hint="eastAsia" w:ascii="仿宋" w:hAnsi="仿宋" w:eastAsia="仿宋" w:cs="仿宋"/>
          <w:kern w:val="0"/>
          <w:sz w:val="30"/>
          <w:szCs w:val="30"/>
        </w:rPr>
        <w:t>人民政府属全额行政机关</w:t>
      </w:r>
      <w:r>
        <w:rPr>
          <w:rFonts w:hint="eastAsia" w:ascii="仿宋" w:hAnsi="仿宋" w:eastAsia="仿宋" w:cs="仿宋"/>
          <w:kern w:val="0"/>
          <w:sz w:val="30"/>
          <w:szCs w:val="30"/>
          <w:lang w:eastAsia="zh-CN"/>
        </w:rPr>
        <w:t>，是</w:t>
      </w:r>
      <w:r>
        <w:rPr>
          <w:rFonts w:hint="eastAsia" w:ascii="仿宋" w:hAnsi="仿宋" w:eastAsia="仿宋" w:cs="仿宋"/>
          <w:kern w:val="0"/>
          <w:sz w:val="30"/>
          <w:szCs w:val="30"/>
        </w:rPr>
        <w:t>一级部门预算单位，</w:t>
      </w:r>
      <w:r>
        <w:rPr>
          <w:rFonts w:hint="eastAsia" w:ascii="仿宋" w:hAnsi="仿宋" w:eastAsia="仿宋" w:cs="仿宋"/>
          <w:kern w:val="0"/>
          <w:sz w:val="30"/>
          <w:szCs w:val="30"/>
          <w:lang w:eastAsia="zh-CN"/>
        </w:rPr>
        <w:t>内设</w:t>
      </w:r>
      <w:r>
        <w:rPr>
          <w:rFonts w:hint="eastAsia" w:ascii="仿宋" w:hAnsi="仿宋" w:eastAsia="仿宋" w:cs="仿宋"/>
          <w:kern w:val="0"/>
          <w:sz w:val="30"/>
          <w:szCs w:val="30"/>
        </w:rPr>
        <w:t>党政办公室、党建办公室、经济发展办公室、社会事务办公室、社会治安和应急管理办公室、自然资源和生态环境办公室、社会事务综合服务中心、农业综合服务中心、便民服务中心、综合行政执法大队等部门</w:t>
      </w:r>
      <w:r>
        <w:rPr>
          <w:rFonts w:hint="eastAsia" w:asciiTheme="minorEastAsia" w:hAnsiTheme="minorEastAsia"/>
          <w:bCs/>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atLeast"/>
        <w:ind w:firstLine="900" w:firstLineChars="300"/>
        <w:textAlignment w:val="auto"/>
        <w:rPr>
          <w:rFonts w:hint="eastAsia" w:ascii="仿宋" w:hAnsi="仿宋" w:eastAsia="仿宋" w:cs="仿宋"/>
          <w:kern w:val="0"/>
          <w:sz w:val="30"/>
          <w:szCs w:val="30"/>
        </w:rPr>
      </w:pPr>
      <w:r>
        <w:rPr>
          <w:rFonts w:hint="eastAsia" w:ascii="仿宋" w:hAnsi="仿宋" w:eastAsia="仿宋" w:cs="仿宋"/>
          <w:kern w:val="0"/>
          <w:sz w:val="30"/>
          <w:szCs w:val="30"/>
        </w:rPr>
        <w:t>1、党政办公室：负责协助</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领导处理日常党务和行政管理工作；协助抓好纪检、监察、群团工作和精神文明建设；做好文秘、接待、后勤、信息、统计、档案、调研、督查工作；负责政策性文件、具体行政行为的审核和上报备案以及行政执法证件的使用管理，承办以</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政府为被告或被申请人的行政诉讼、行政赔偿和行政复议案件，具体承担依法行政、政务公开和行政执法监督的各项工作；联系联络人大、政协工作，承办</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党委、政府和上级主管部门交办的其他事项。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firstLine="900" w:firstLineChars="300"/>
        <w:textAlignment w:val="auto"/>
        <w:rPr>
          <w:rFonts w:hint="eastAsia" w:ascii="仿宋" w:hAnsi="仿宋" w:eastAsia="仿宋" w:cs="仿宋"/>
          <w:kern w:val="0"/>
          <w:sz w:val="30"/>
          <w:szCs w:val="30"/>
        </w:rPr>
      </w:pPr>
      <w:r>
        <w:rPr>
          <w:rFonts w:hint="eastAsia" w:ascii="仿宋" w:hAnsi="仿宋" w:eastAsia="仿宋" w:cs="仿宋"/>
          <w:kern w:val="0"/>
          <w:sz w:val="30"/>
          <w:szCs w:val="30"/>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3、财政所：负责编制和执行</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政府财政预决算工作，管理预算内外资金、编制财政预算草案；负责管理和监督本</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所属行政事业单位的财务活动；负责财政收支管理，</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财政性资金债权管理；负责政府性项目及大额固定资金等方面的内审工作；负责党委会等会议决定事项的督办工作。</w:t>
      </w:r>
    </w:p>
    <w:p>
      <w:pPr>
        <w:keepNext w:val="0"/>
        <w:keepLines w:val="0"/>
        <w:pageBreakBefore w:val="0"/>
        <w:widowControl w:val="0"/>
        <w:kinsoku/>
        <w:wordWrap/>
        <w:overflowPunct/>
        <w:topLinePunct w:val="0"/>
        <w:autoSpaceDE/>
        <w:autoSpaceDN/>
        <w:bidi w:val="0"/>
        <w:adjustRightInd w:val="0"/>
        <w:snapToGrid w:val="0"/>
        <w:spacing w:line="540" w:lineRule="atLeas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4、经济发展办公室：贯彻国家对农业的方针、政策和法规，对农业产业结构调整，农业资源配置和产品品质改善实施服务；负责全</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农村经济发展规划和重要项目申报工作，指导全镇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负责土地使用、管理及其相关工作；完成党委、政府分配的其它中心工作。</w:t>
      </w:r>
    </w:p>
    <w:p>
      <w:pPr>
        <w:keepNext w:val="0"/>
        <w:keepLines w:val="0"/>
        <w:pageBreakBefore w:val="0"/>
        <w:widowControl w:val="0"/>
        <w:kinsoku/>
        <w:wordWrap/>
        <w:overflowPunct/>
        <w:topLinePunct w:val="0"/>
        <w:autoSpaceDE/>
        <w:autoSpaceDN/>
        <w:bidi w:val="0"/>
        <w:adjustRightInd w:val="0"/>
        <w:snapToGrid w:val="0"/>
        <w:spacing w:line="540" w:lineRule="atLeast"/>
        <w:ind w:firstLine="900" w:firstLineChars="300"/>
        <w:textAlignment w:val="auto"/>
        <w:rPr>
          <w:rFonts w:hint="eastAsia" w:ascii="仿宋" w:hAnsi="仿宋" w:eastAsia="仿宋" w:cs="仿宋"/>
          <w:kern w:val="0"/>
          <w:sz w:val="30"/>
          <w:szCs w:val="30"/>
        </w:rPr>
      </w:pPr>
      <w:r>
        <w:rPr>
          <w:rFonts w:hint="eastAsia" w:ascii="仿宋" w:hAnsi="仿宋" w:eastAsia="仿宋" w:cs="仿宋"/>
          <w:kern w:val="0"/>
          <w:sz w:val="30"/>
          <w:szCs w:val="30"/>
        </w:rPr>
        <w:t>6、社会治安和应急管理办公室：负责贯彻执行上级有关基层社会治安综合治理和应急管理工作的方针、政策和法律法规；健全</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“两劳”人员的帮教工作，强化社会治安；负责安全生产监管、防汛抗旱、防灾减灾、抗震救灾、森林防火等工作；承办</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党委、政府和上级主管部门交办的其他事项。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党委、政府和上级主管部门交办的其他事项。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8、综合行政执法大队：按照有关法律规定相对集中行使行政处罚权，以</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名义开展执法工作，并接受有关县级主管部门的业务指导和监督，逐步实现一支队伍管执法；承办</w:t>
      </w:r>
      <w:r>
        <w:rPr>
          <w:rFonts w:hint="eastAsia" w:ascii="仿宋" w:hAnsi="仿宋" w:eastAsia="仿宋" w:cs="仿宋"/>
          <w:kern w:val="0"/>
          <w:sz w:val="30"/>
          <w:szCs w:val="30"/>
          <w:lang w:val="en-US" w:eastAsia="zh-CN"/>
        </w:rPr>
        <w:t>乡</w:t>
      </w:r>
      <w:r>
        <w:rPr>
          <w:rFonts w:hint="eastAsia" w:ascii="仿宋" w:hAnsi="仿宋" w:eastAsia="仿宋" w:cs="仿宋"/>
          <w:kern w:val="0"/>
          <w:sz w:val="30"/>
          <w:szCs w:val="30"/>
        </w:rPr>
        <w:t>党委、政府和上级主管部门交办的其他事项。</w:t>
      </w:r>
    </w:p>
    <w:p>
      <w:pPr>
        <w:widowControl/>
        <w:spacing w:line="600" w:lineRule="exact"/>
        <w:ind w:firstLine="600" w:firstLineChars="200"/>
        <w:rPr>
          <w:rFonts w:hint="eastAsia" w:ascii="仿宋" w:hAnsi="仿宋" w:eastAsia="仿宋" w:cs="仿宋"/>
          <w:kern w:val="0"/>
          <w:sz w:val="30"/>
          <w:szCs w:val="30"/>
        </w:rPr>
      </w:pPr>
    </w:p>
    <w:p>
      <w:pPr>
        <w:numPr>
          <w:ilvl w:val="0"/>
          <w:numId w:val="1"/>
        </w:numPr>
        <w:adjustRightInd w:val="0"/>
        <w:snapToGrid w:val="0"/>
        <w:spacing w:line="540" w:lineRule="atLeast"/>
        <w:ind w:left="28" w:leftChars="0" w:firstLine="602" w:firstLineChars="0"/>
        <w:rPr>
          <w:rFonts w:hint="eastAsia" w:ascii="仿宋" w:hAnsi="仿宋" w:eastAsia="仿宋" w:cs="仿宋"/>
          <w:b/>
          <w:bCs/>
          <w:kern w:val="0"/>
          <w:sz w:val="30"/>
          <w:szCs w:val="30"/>
        </w:rPr>
      </w:pPr>
      <w:r>
        <w:rPr>
          <w:rFonts w:hint="eastAsia" w:ascii="仿宋" w:hAnsi="仿宋" w:eastAsia="仿宋" w:cs="仿宋"/>
          <w:b/>
          <w:bCs/>
          <w:kern w:val="0"/>
          <w:sz w:val="30"/>
          <w:szCs w:val="30"/>
        </w:rPr>
        <w:t>人员情况</w:t>
      </w:r>
    </w:p>
    <w:p>
      <w:pPr>
        <w:numPr>
          <w:numId w:val="0"/>
        </w:numPr>
        <w:adjustRightInd w:val="0"/>
        <w:snapToGrid w:val="0"/>
        <w:spacing w:line="540" w:lineRule="atLeast"/>
        <w:ind w:left="630" w:leftChars="0" w:firstLine="900" w:firstLineChars="300"/>
        <w:rPr>
          <w:rFonts w:hint="eastAsia" w:ascii="仿宋" w:hAnsi="仿宋" w:eastAsia="仿宋" w:cs="仿宋"/>
          <w:b/>
          <w:bCs/>
          <w:kern w:val="0"/>
          <w:sz w:val="30"/>
          <w:szCs w:val="30"/>
        </w:rPr>
      </w:pPr>
      <w:r>
        <w:rPr>
          <w:rFonts w:hint="eastAsia" w:ascii="仿宋" w:hAnsi="仿宋" w:eastAsia="仿宋" w:cs="仿宋"/>
          <w:color w:val="3D3D3D"/>
          <w:sz w:val="30"/>
          <w:szCs w:val="30"/>
          <w:shd w:val="clear" w:color="auto" w:fill="FFFFFF"/>
        </w:rPr>
        <w:t>截至202</w:t>
      </w:r>
      <w:r>
        <w:rPr>
          <w:rFonts w:hint="eastAsia" w:ascii="仿宋" w:hAnsi="仿宋" w:eastAsia="仿宋" w:cs="仿宋"/>
          <w:color w:val="3D3D3D"/>
          <w:sz w:val="30"/>
          <w:szCs w:val="30"/>
          <w:shd w:val="clear" w:color="auto" w:fill="FFFFFF"/>
          <w:lang w:val="en-US" w:eastAsia="zh-CN"/>
        </w:rPr>
        <w:t>1</w:t>
      </w:r>
      <w:r>
        <w:rPr>
          <w:rFonts w:hint="eastAsia" w:ascii="仿宋" w:hAnsi="仿宋" w:eastAsia="仿宋" w:cs="仿宋"/>
          <w:color w:val="3D3D3D"/>
          <w:sz w:val="30"/>
          <w:szCs w:val="30"/>
          <w:shd w:val="clear" w:color="auto" w:fill="FFFFFF"/>
        </w:rPr>
        <w:t>年底，龙泉岩乡人民政府核定人员编制49人，行政编制22人，事业编制27人；实际在编4</w:t>
      </w:r>
      <w:r>
        <w:rPr>
          <w:rFonts w:hint="eastAsia" w:ascii="仿宋" w:hAnsi="仿宋" w:eastAsia="仿宋" w:cs="仿宋"/>
          <w:color w:val="3D3D3D"/>
          <w:sz w:val="30"/>
          <w:szCs w:val="30"/>
          <w:shd w:val="clear" w:color="auto" w:fill="FFFFFF"/>
          <w:lang w:val="en-US" w:eastAsia="zh-CN"/>
        </w:rPr>
        <w:t>2</w:t>
      </w:r>
      <w:r>
        <w:rPr>
          <w:rFonts w:hint="eastAsia" w:ascii="仿宋" w:hAnsi="仿宋" w:eastAsia="仿宋" w:cs="仿宋"/>
          <w:color w:val="3D3D3D"/>
          <w:sz w:val="30"/>
          <w:szCs w:val="30"/>
          <w:shd w:val="clear" w:color="auto" w:fill="FFFFFF"/>
        </w:rPr>
        <w:t>人（行政编制20人，事业编制2</w:t>
      </w:r>
      <w:r>
        <w:rPr>
          <w:rFonts w:hint="eastAsia" w:ascii="仿宋" w:hAnsi="仿宋" w:eastAsia="仿宋" w:cs="仿宋"/>
          <w:color w:val="3D3D3D"/>
          <w:sz w:val="30"/>
          <w:szCs w:val="30"/>
          <w:shd w:val="clear" w:color="auto" w:fill="FFFFFF"/>
          <w:lang w:val="en-US" w:eastAsia="zh-CN"/>
        </w:rPr>
        <w:t>2</w:t>
      </w:r>
      <w:r>
        <w:rPr>
          <w:rFonts w:hint="eastAsia" w:ascii="仿宋" w:hAnsi="仿宋" w:eastAsia="仿宋" w:cs="仿宋"/>
          <w:color w:val="3D3D3D"/>
          <w:sz w:val="30"/>
          <w:szCs w:val="30"/>
          <w:shd w:val="clear" w:color="auto" w:fill="FFFFFF"/>
        </w:rPr>
        <w:t>人），财政实际供给43人。</w:t>
      </w:r>
    </w:p>
    <w:p>
      <w:pPr>
        <w:numPr>
          <w:ilvl w:val="0"/>
          <w:numId w:val="1"/>
        </w:numPr>
        <w:adjustRightInd w:val="0"/>
        <w:snapToGrid w:val="0"/>
        <w:spacing w:line="540" w:lineRule="atLeast"/>
        <w:ind w:left="28" w:leftChars="0" w:firstLine="602" w:firstLineChars="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部门年度总体工作任务和重点工作任务</w:t>
      </w:r>
    </w:p>
    <w:p>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人居环境卫生整治工作等。</w:t>
      </w:r>
    </w:p>
    <w:p>
      <w:pPr>
        <w:numPr>
          <w:ilvl w:val="0"/>
          <w:numId w:val="1"/>
        </w:numPr>
        <w:adjustRightInd w:val="0"/>
        <w:snapToGrid w:val="0"/>
        <w:spacing w:line="540" w:lineRule="atLeast"/>
        <w:ind w:left="28" w:leftChars="0" w:firstLine="602" w:firstLineChars="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部门年度整体收支情况</w:t>
      </w:r>
    </w:p>
    <w:p>
      <w:pPr>
        <w:keepNext w:val="0"/>
        <w:keepLines w:val="0"/>
        <w:pageBreakBefore w:val="0"/>
        <w:widowControl/>
        <w:kinsoku/>
        <w:wordWrap/>
        <w:overflowPunct/>
        <w:topLinePunct w:val="0"/>
        <w:autoSpaceDE/>
        <w:autoSpaceDN/>
        <w:bidi w:val="0"/>
        <w:adjustRightInd/>
        <w:snapToGrid/>
        <w:spacing w:line="460" w:lineRule="exact"/>
        <w:ind w:firstLine="900" w:firstLineChars="300"/>
        <w:jc w:val="left"/>
        <w:textAlignment w:val="auto"/>
        <w:rPr>
          <w:rStyle w:val="5"/>
          <w:rFonts w:hint="eastAsia" w:ascii="仿宋" w:hAnsi="仿宋" w:eastAsia="仿宋" w:cs="仿宋"/>
          <w:sz w:val="30"/>
          <w:szCs w:val="30"/>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val="en-US" w:eastAsia="zh-CN"/>
        </w:rPr>
        <w:t xml:space="preserve"> </w:t>
      </w:r>
      <w:r>
        <w:rPr>
          <w:rStyle w:val="5"/>
          <w:rFonts w:hint="eastAsia" w:ascii="仿宋" w:hAnsi="仿宋" w:eastAsia="仿宋" w:cs="仿宋"/>
          <w:sz w:val="30"/>
          <w:szCs w:val="30"/>
        </w:rPr>
        <w:t>20</w:t>
      </w:r>
      <w:r>
        <w:rPr>
          <w:rStyle w:val="5"/>
          <w:rFonts w:hint="eastAsia" w:ascii="仿宋" w:hAnsi="仿宋" w:eastAsia="仿宋" w:cs="仿宋"/>
          <w:sz w:val="30"/>
          <w:szCs w:val="30"/>
          <w:lang w:val="en-US" w:eastAsia="zh-CN"/>
        </w:rPr>
        <w:t>21</w:t>
      </w:r>
      <w:r>
        <w:rPr>
          <w:rStyle w:val="5"/>
          <w:rFonts w:hint="eastAsia" w:ascii="仿宋" w:hAnsi="仿宋" w:eastAsia="仿宋" w:cs="仿宋"/>
          <w:sz w:val="30"/>
          <w:szCs w:val="30"/>
        </w:rPr>
        <w:t>年度共取得收入合计</w:t>
      </w:r>
      <w:r>
        <w:rPr>
          <w:rStyle w:val="5"/>
          <w:rFonts w:hint="eastAsia" w:ascii="仿宋" w:hAnsi="仿宋" w:eastAsia="仿宋" w:cs="仿宋"/>
          <w:sz w:val="30"/>
          <w:szCs w:val="30"/>
          <w:lang w:val="en-US" w:eastAsia="zh-CN"/>
        </w:rPr>
        <w:t>909.82</w:t>
      </w:r>
      <w:r>
        <w:rPr>
          <w:rStyle w:val="5"/>
          <w:rFonts w:hint="eastAsia" w:ascii="仿宋" w:hAnsi="仿宋" w:eastAsia="仿宋" w:cs="仿宋"/>
          <w:sz w:val="30"/>
          <w:szCs w:val="30"/>
        </w:rPr>
        <w:t>万元， 其中：财政拨款收入</w:t>
      </w:r>
      <w:r>
        <w:rPr>
          <w:rStyle w:val="5"/>
          <w:rFonts w:hint="eastAsia" w:ascii="仿宋" w:hAnsi="仿宋" w:eastAsia="仿宋" w:cs="仿宋"/>
          <w:sz w:val="30"/>
          <w:szCs w:val="30"/>
          <w:lang w:val="en-US" w:eastAsia="zh-CN"/>
        </w:rPr>
        <w:t>909.82</w:t>
      </w:r>
      <w:r>
        <w:rPr>
          <w:rStyle w:val="5"/>
          <w:rFonts w:hint="eastAsia" w:ascii="仿宋" w:hAnsi="仿宋" w:eastAsia="仿宋" w:cs="仿宋"/>
          <w:sz w:val="30"/>
          <w:szCs w:val="30"/>
        </w:rPr>
        <w:t xml:space="preserve"> 万元，占 100%；事业收入 0 万元，占 0%；经营收入 0 万元， 占 0%； 其他收入0 万元，占 0%。包含：一般公共服务</w:t>
      </w:r>
      <w:r>
        <w:rPr>
          <w:rStyle w:val="5"/>
          <w:rFonts w:hint="eastAsia" w:ascii="仿宋" w:hAnsi="仿宋" w:eastAsia="仿宋" w:cs="仿宋"/>
          <w:sz w:val="30"/>
          <w:szCs w:val="30"/>
          <w:lang w:val="en-US" w:eastAsia="zh-CN"/>
        </w:rPr>
        <w:t>支出780.19</w:t>
      </w:r>
      <w:r>
        <w:rPr>
          <w:rStyle w:val="5"/>
          <w:rFonts w:hint="eastAsia" w:ascii="仿宋" w:hAnsi="仿宋" w:eastAsia="仿宋" w:cs="仿宋"/>
          <w:sz w:val="30"/>
          <w:szCs w:val="30"/>
        </w:rPr>
        <w:t>万元，社会保障和就业支出</w:t>
      </w:r>
      <w:r>
        <w:rPr>
          <w:rStyle w:val="5"/>
          <w:rFonts w:hint="eastAsia" w:ascii="仿宋" w:hAnsi="仿宋" w:eastAsia="仿宋" w:cs="仿宋"/>
          <w:sz w:val="30"/>
          <w:szCs w:val="30"/>
          <w:lang w:val="en-US" w:eastAsia="zh-CN"/>
        </w:rPr>
        <w:t>73.52</w:t>
      </w:r>
      <w:r>
        <w:rPr>
          <w:rStyle w:val="5"/>
          <w:rFonts w:hint="eastAsia" w:ascii="仿宋" w:hAnsi="仿宋" w:eastAsia="仿宋" w:cs="仿宋"/>
          <w:sz w:val="30"/>
          <w:szCs w:val="30"/>
        </w:rPr>
        <w:t>万元，住房保障支出</w:t>
      </w:r>
      <w:r>
        <w:rPr>
          <w:rStyle w:val="5"/>
          <w:rFonts w:hint="eastAsia" w:ascii="仿宋" w:hAnsi="仿宋" w:eastAsia="仿宋" w:cs="仿宋"/>
          <w:sz w:val="30"/>
          <w:szCs w:val="30"/>
          <w:lang w:val="en-US" w:eastAsia="zh-CN"/>
        </w:rPr>
        <w:t>56.11</w:t>
      </w:r>
      <w:r>
        <w:rPr>
          <w:rStyle w:val="5"/>
          <w:rFonts w:hint="eastAsia" w:ascii="仿宋" w:hAnsi="仿宋" w:eastAsia="仿宋" w:cs="仿宋"/>
          <w:sz w:val="30"/>
          <w:szCs w:val="30"/>
        </w:rPr>
        <w:t>万元</w:t>
      </w:r>
      <w:r>
        <w:rPr>
          <w:rStyle w:val="5"/>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900" w:firstLineChars="300"/>
        <w:jc w:val="left"/>
        <w:textAlignment w:val="auto"/>
        <w:rPr>
          <w:rFonts w:hint="eastAsia" w:ascii="仿宋" w:hAnsi="仿宋" w:eastAsia="仿宋" w:cs="仿宋"/>
          <w:kern w:val="0"/>
          <w:sz w:val="30"/>
          <w:szCs w:val="30"/>
          <w:lang w:val="en-US" w:eastAsia="zh-CN"/>
        </w:rPr>
      </w:pPr>
      <w:r>
        <w:rPr>
          <w:rStyle w:val="5"/>
          <w:rFonts w:hint="eastAsia" w:ascii="仿宋" w:hAnsi="仿宋" w:eastAsia="仿宋" w:cs="仿宋"/>
          <w:sz w:val="30"/>
          <w:szCs w:val="30"/>
          <w:lang w:val="en-US" w:eastAsia="zh-CN"/>
        </w:rPr>
        <w:t>2</w:t>
      </w:r>
      <w:r>
        <w:rPr>
          <w:rStyle w:val="5"/>
          <w:rFonts w:hint="eastAsia" w:ascii="仿宋" w:hAnsi="仿宋" w:eastAsia="仿宋" w:cs="仿宋"/>
          <w:sz w:val="30"/>
          <w:szCs w:val="30"/>
        </w:rPr>
        <w:t>0</w:t>
      </w:r>
      <w:r>
        <w:rPr>
          <w:rStyle w:val="5"/>
          <w:rFonts w:hint="eastAsia" w:ascii="仿宋" w:hAnsi="仿宋" w:eastAsia="仿宋" w:cs="仿宋"/>
          <w:sz w:val="30"/>
          <w:szCs w:val="30"/>
          <w:lang w:val="en-US" w:eastAsia="zh-CN"/>
        </w:rPr>
        <w:t>21</w:t>
      </w:r>
      <w:r>
        <w:rPr>
          <w:rStyle w:val="5"/>
          <w:rFonts w:hint="eastAsia" w:ascii="仿宋" w:hAnsi="仿宋" w:eastAsia="仿宋" w:cs="仿宋"/>
          <w:sz w:val="30"/>
          <w:szCs w:val="30"/>
        </w:rPr>
        <w:t xml:space="preserve">年度共发生财政拨款支出 </w:t>
      </w:r>
      <w:r>
        <w:rPr>
          <w:rStyle w:val="5"/>
          <w:rFonts w:hint="eastAsia" w:ascii="仿宋" w:hAnsi="仿宋" w:eastAsia="仿宋" w:cs="仿宋"/>
          <w:sz w:val="30"/>
          <w:szCs w:val="30"/>
          <w:lang w:val="en-US" w:eastAsia="zh-CN"/>
        </w:rPr>
        <w:t>972.46</w:t>
      </w:r>
      <w:r>
        <w:rPr>
          <w:rStyle w:val="5"/>
          <w:rFonts w:hint="eastAsia" w:ascii="仿宋" w:hAnsi="仿宋" w:eastAsia="仿宋" w:cs="仿宋"/>
          <w:sz w:val="30"/>
          <w:szCs w:val="30"/>
        </w:rPr>
        <w:t>万元，其中：基本支出</w:t>
      </w:r>
      <w:r>
        <w:rPr>
          <w:rStyle w:val="5"/>
          <w:rFonts w:hint="eastAsia" w:ascii="仿宋" w:hAnsi="仿宋" w:eastAsia="仿宋" w:cs="仿宋"/>
          <w:sz w:val="30"/>
          <w:szCs w:val="30"/>
          <w:lang w:val="en-US" w:eastAsia="zh-CN"/>
        </w:rPr>
        <w:t>824.89</w:t>
      </w:r>
      <w:r>
        <w:rPr>
          <w:rStyle w:val="5"/>
          <w:rFonts w:hint="eastAsia" w:ascii="仿宋" w:hAnsi="仿宋" w:eastAsia="仿宋" w:cs="仿宋"/>
          <w:sz w:val="30"/>
          <w:szCs w:val="30"/>
        </w:rPr>
        <w:t xml:space="preserve"> 万元，占</w:t>
      </w:r>
      <w:r>
        <w:rPr>
          <w:rStyle w:val="5"/>
          <w:rFonts w:hint="eastAsia" w:ascii="仿宋" w:hAnsi="仿宋" w:eastAsia="仿宋" w:cs="仿宋"/>
          <w:sz w:val="30"/>
          <w:szCs w:val="30"/>
          <w:lang w:val="en-US" w:eastAsia="zh-CN"/>
        </w:rPr>
        <w:t>84.83</w:t>
      </w:r>
      <w:r>
        <w:rPr>
          <w:rStyle w:val="5"/>
          <w:rFonts w:hint="eastAsia" w:ascii="仿宋" w:hAnsi="仿宋" w:eastAsia="仿宋" w:cs="仿宋"/>
          <w:sz w:val="30"/>
          <w:szCs w:val="30"/>
        </w:rPr>
        <w:t>% ；</w:t>
      </w:r>
      <w:r>
        <w:rPr>
          <w:rStyle w:val="6"/>
          <w:rFonts w:hint="eastAsia" w:ascii="仿宋" w:hAnsi="仿宋" w:eastAsia="仿宋" w:cs="仿宋"/>
          <w:sz w:val="30"/>
          <w:szCs w:val="30"/>
        </w:rPr>
        <w:t>项目</w:t>
      </w:r>
      <w:r>
        <w:rPr>
          <w:rStyle w:val="5"/>
          <w:rFonts w:hint="eastAsia" w:ascii="仿宋" w:hAnsi="仿宋" w:eastAsia="仿宋" w:cs="仿宋"/>
          <w:sz w:val="30"/>
          <w:szCs w:val="30"/>
        </w:rPr>
        <w:t>支出</w:t>
      </w:r>
      <w:r>
        <w:rPr>
          <w:rStyle w:val="5"/>
          <w:rFonts w:hint="eastAsia" w:ascii="仿宋" w:hAnsi="仿宋" w:eastAsia="仿宋" w:cs="仿宋"/>
          <w:sz w:val="30"/>
          <w:szCs w:val="30"/>
          <w:lang w:val="en-US" w:eastAsia="zh-CN"/>
        </w:rPr>
        <w:t>147.57</w:t>
      </w:r>
      <w:r>
        <w:rPr>
          <w:rStyle w:val="5"/>
          <w:rFonts w:hint="eastAsia" w:ascii="仿宋" w:hAnsi="仿宋" w:eastAsia="仿宋" w:cs="仿宋"/>
          <w:sz w:val="30"/>
          <w:szCs w:val="30"/>
        </w:rPr>
        <w:t xml:space="preserve">万元，占 </w:t>
      </w:r>
      <w:r>
        <w:rPr>
          <w:rStyle w:val="5"/>
          <w:rFonts w:hint="eastAsia" w:ascii="仿宋" w:hAnsi="仿宋" w:eastAsia="仿宋" w:cs="仿宋"/>
          <w:sz w:val="30"/>
          <w:szCs w:val="30"/>
          <w:lang w:val="en-US" w:eastAsia="zh-CN"/>
        </w:rPr>
        <w:t>15.17</w:t>
      </w:r>
      <w:r>
        <w:rPr>
          <w:rStyle w:val="5"/>
          <w:rFonts w:hint="eastAsia" w:ascii="仿宋" w:hAnsi="仿宋" w:eastAsia="仿宋" w:cs="仿宋"/>
          <w:sz w:val="30"/>
          <w:szCs w:val="30"/>
        </w:rPr>
        <w:t>%。 主要用于以下方面： 一般公共服务（类） 支出</w:t>
      </w:r>
      <w:r>
        <w:rPr>
          <w:rStyle w:val="5"/>
          <w:rFonts w:hint="eastAsia" w:ascii="仿宋" w:hAnsi="仿宋" w:eastAsia="仿宋" w:cs="仿宋"/>
          <w:sz w:val="30"/>
          <w:szCs w:val="30"/>
          <w:lang w:val="en-US" w:eastAsia="zh-CN"/>
        </w:rPr>
        <w:t>687.26</w:t>
      </w:r>
      <w:r>
        <w:rPr>
          <w:rStyle w:val="5"/>
          <w:rFonts w:hint="eastAsia" w:ascii="仿宋" w:hAnsi="仿宋" w:eastAsia="仿宋" w:cs="仿宋"/>
          <w:sz w:val="30"/>
          <w:szCs w:val="30"/>
        </w:rPr>
        <w:t xml:space="preserve"> 万元，占</w:t>
      </w:r>
      <w:r>
        <w:rPr>
          <w:rStyle w:val="5"/>
          <w:rFonts w:hint="eastAsia" w:ascii="仿宋" w:hAnsi="仿宋" w:eastAsia="仿宋" w:cs="仿宋"/>
          <w:sz w:val="30"/>
          <w:szCs w:val="30"/>
          <w:lang w:val="en-US" w:eastAsia="zh-CN"/>
        </w:rPr>
        <w:t>70.67</w:t>
      </w:r>
      <w:r>
        <w:rPr>
          <w:rStyle w:val="5"/>
          <w:rFonts w:hint="eastAsia" w:ascii="仿宋" w:hAnsi="仿宋" w:eastAsia="仿宋" w:cs="仿宋"/>
          <w:sz w:val="30"/>
          <w:szCs w:val="30"/>
        </w:rPr>
        <w:t>%；</w:t>
      </w:r>
      <w:r>
        <w:rPr>
          <w:rStyle w:val="6"/>
          <w:rFonts w:hint="eastAsia" w:ascii="仿宋" w:hAnsi="仿宋" w:eastAsia="仿宋" w:cs="仿宋"/>
          <w:sz w:val="30"/>
          <w:szCs w:val="30"/>
        </w:rPr>
        <w:t>项目</w:t>
      </w:r>
      <w:r>
        <w:rPr>
          <w:rStyle w:val="5"/>
          <w:rFonts w:hint="eastAsia" w:ascii="仿宋" w:hAnsi="仿宋" w:eastAsia="仿宋" w:cs="仿宋"/>
          <w:sz w:val="30"/>
          <w:szCs w:val="30"/>
        </w:rPr>
        <w:t>支出</w:t>
      </w:r>
      <w:r>
        <w:rPr>
          <w:rStyle w:val="5"/>
          <w:rFonts w:hint="eastAsia" w:ascii="仿宋" w:hAnsi="仿宋" w:eastAsia="仿宋" w:cs="仿宋"/>
          <w:sz w:val="30"/>
          <w:szCs w:val="30"/>
          <w:lang w:val="en-US" w:eastAsia="zh-CN"/>
        </w:rPr>
        <w:t>147.57</w:t>
      </w:r>
      <w:r>
        <w:rPr>
          <w:rStyle w:val="5"/>
          <w:rFonts w:hint="eastAsia" w:ascii="仿宋" w:hAnsi="仿宋" w:eastAsia="仿宋" w:cs="仿宋"/>
          <w:sz w:val="30"/>
          <w:szCs w:val="30"/>
        </w:rPr>
        <w:t xml:space="preserve">万元，占 </w:t>
      </w:r>
      <w:r>
        <w:rPr>
          <w:rStyle w:val="5"/>
          <w:rFonts w:hint="eastAsia" w:ascii="仿宋" w:hAnsi="仿宋" w:eastAsia="仿宋" w:cs="仿宋"/>
          <w:sz w:val="30"/>
          <w:szCs w:val="30"/>
          <w:lang w:val="en-US" w:eastAsia="zh-CN"/>
        </w:rPr>
        <w:t>15.17</w:t>
      </w:r>
      <w:r>
        <w:rPr>
          <w:rStyle w:val="5"/>
          <w:rFonts w:hint="eastAsia" w:ascii="仿宋" w:hAnsi="仿宋" w:eastAsia="仿宋" w:cs="仿宋"/>
          <w:sz w:val="30"/>
          <w:szCs w:val="30"/>
        </w:rPr>
        <w:t>%</w:t>
      </w:r>
      <w:r>
        <w:rPr>
          <w:rStyle w:val="5"/>
          <w:rFonts w:hint="eastAsia" w:ascii="仿宋" w:hAnsi="仿宋" w:eastAsia="仿宋" w:cs="仿宋"/>
          <w:sz w:val="30"/>
          <w:szCs w:val="30"/>
          <w:lang w:eastAsia="zh-CN"/>
        </w:rPr>
        <w:t>；</w:t>
      </w:r>
      <w:r>
        <w:rPr>
          <w:rStyle w:val="5"/>
          <w:rFonts w:hint="eastAsia" w:ascii="仿宋" w:hAnsi="仿宋" w:eastAsia="仿宋" w:cs="仿宋"/>
          <w:sz w:val="30"/>
          <w:szCs w:val="30"/>
        </w:rPr>
        <w:t>社会保障和就业（类）支出</w:t>
      </w:r>
      <w:r>
        <w:rPr>
          <w:rStyle w:val="5"/>
          <w:rFonts w:hint="eastAsia" w:ascii="仿宋" w:hAnsi="仿宋" w:eastAsia="仿宋" w:cs="仿宋"/>
          <w:sz w:val="30"/>
          <w:szCs w:val="30"/>
          <w:lang w:val="en-US" w:eastAsia="zh-CN"/>
        </w:rPr>
        <w:t>73.52</w:t>
      </w:r>
      <w:r>
        <w:rPr>
          <w:rStyle w:val="5"/>
          <w:rFonts w:hint="eastAsia" w:ascii="仿宋" w:hAnsi="仿宋" w:eastAsia="仿宋" w:cs="仿宋"/>
          <w:sz w:val="30"/>
          <w:szCs w:val="30"/>
        </w:rPr>
        <w:t>万元，占</w:t>
      </w:r>
      <w:r>
        <w:rPr>
          <w:rStyle w:val="5"/>
          <w:rFonts w:hint="eastAsia" w:ascii="仿宋" w:hAnsi="仿宋" w:eastAsia="仿宋" w:cs="仿宋"/>
          <w:sz w:val="30"/>
          <w:szCs w:val="30"/>
          <w:lang w:val="en-US" w:eastAsia="zh-CN"/>
        </w:rPr>
        <w:t>7.56</w:t>
      </w:r>
      <w:r>
        <w:rPr>
          <w:rStyle w:val="5"/>
          <w:rFonts w:hint="eastAsia" w:ascii="仿宋" w:hAnsi="仿宋" w:eastAsia="仿宋" w:cs="仿宋"/>
          <w:sz w:val="30"/>
          <w:szCs w:val="30"/>
        </w:rPr>
        <w:t>%；节能环保（类）支出</w:t>
      </w:r>
      <w:r>
        <w:rPr>
          <w:rStyle w:val="5"/>
          <w:rFonts w:hint="eastAsia" w:ascii="仿宋" w:hAnsi="仿宋" w:eastAsia="仿宋" w:cs="仿宋"/>
          <w:sz w:val="30"/>
          <w:szCs w:val="30"/>
          <w:lang w:val="en-US" w:eastAsia="zh-CN"/>
        </w:rPr>
        <w:t>8万元，</w:t>
      </w:r>
      <w:r>
        <w:rPr>
          <w:rStyle w:val="5"/>
          <w:rFonts w:hint="eastAsia" w:ascii="仿宋" w:hAnsi="仿宋" w:eastAsia="仿宋" w:cs="仿宋"/>
          <w:sz w:val="30"/>
          <w:szCs w:val="30"/>
        </w:rPr>
        <w:t>占</w:t>
      </w:r>
      <w:r>
        <w:rPr>
          <w:rStyle w:val="5"/>
          <w:rFonts w:hint="eastAsia" w:ascii="仿宋" w:hAnsi="仿宋" w:eastAsia="仿宋" w:cs="仿宋"/>
          <w:sz w:val="30"/>
          <w:szCs w:val="30"/>
          <w:lang w:val="en-US" w:eastAsia="zh-CN"/>
        </w:rPr>
        <w:t>2.45</w:t>
      </w:r>
      <w:r>
        <w:rPr>
          <w:rStyle w:val="5"/>
          <w:rFonts w:hint="eastAsia" w:ascii="仿宋" w:hAnsi="仿宋" w:eastAsia="仿宋" w:cs="仿宋"/>
          <w:sz w:val="30"/>
          <w:szCs w:val="30"/>
        </w:rPr>
        <w:t>%</w:t>
      </w:r>
      <w:r>
        <w:rPr>
          <w:rStyle w:val="5"/>
          <w:rFonts w:hint="eastAsia" w:ascii="仿宋" w:hAnsi="仿宋" w:eastAsia="仿宋" w:cs="仿宋"/>
          <w:sz w:val="30"/>
          <w:szCs w:val="30"/>
          <w:lang w:val="en-US" w:eastAsia="zh-CN"/>
        </w:rPr>
        <w:t>；</w:t>
      </w:r>
      <w:r>
        <w:rPr>
          <w:rStyle w:val="5"/>
          <w:rFonts w:hint="eastAsia" w:ascii="仿宋" w:hAnsi="仿宋" w:eastAsia="仿宋" w:cs="仿宋"/>
          <w:sz w:val="30"/>
          <w:szCs w:val="30"/>
        </w:rPr>
        <w:t xml:space="preserve">住房保障（类）支出 </w:t>
      </w:r>
      <w:r>
        <w:rPr>
          <w:rStyle w:val="5"/>
          <w:rFonts w:hint="eastAsia" w:ascii="仿宋" w:hAnsi="仿宋" w:eastAsia="仿宋" w:cs="仿宋"/>
          <w:sz w:val="30"/>
          <w:szCs w:val="30"/>
          <w:lang w:val="en-US" w:eastAsia="zh-CN"/>
        </w:rPr>
        <w:t>56.11</w:t>
      </w:r>
      <w:r>
        <w:rPr>
          <w:rStyle w:val="5"/>
          <w:rFonts w:hint="eastAsia" w:ascii="仿宋" w:hAnsi="仿宋" w:eastAsia="仿宋" w:cs="仿宋"/>
          <w:sz w:val="30"/>
          <w:szCs w:val="30"/>
        </w:rPr>
        <w:t xml:space="preserve"> 万元，占</w:t>
      </w:r>
      <w:r>
        <w:rPr>
          <w:rStyle w:val="5"/>
          <w:rFonts w:hint="eastAsia" w:ascii="仿宋" w:hAnsi="仿宋" w:eastAsia="仿宋" w:cs="仿宋"/>
          <w:sz w:val="30"/>
          <w:szCs w:val="30"/>
          <w:lang w:val="en-US" w:eastAsia="zh-CN"/>
        </w:rPr>
        <w:t>0.83</w:t>
      </w:r>
      <w:r>
        <w:rPr>
          <w:rStyle w:val="5"/>
          <w:rFonts w:hint="eastAsia" w:ascii="仿宋" w:hAnsi="仿宋" w:eastAsia="仿宋" w:cs="仿宋"/>
          <w:sz w:val="30"/>
          <w:szCs w:val="30"/>
        </w:rPr>
        <w:t>%</w:t>
      </w:r>
      <w:r>
        <w:rPr>
          <w:rFonts w:hint="eastAsia" w:ascii="仿宋" w:hAnsi="仿宋" w:eastAsia="仿宋" w:cs="仿宋"/>
          <w:kern w:val="0"/>
          <w:sz w:val="30"/>
          <w:szCs w:val="30"/>
          <w:lang w:val="en-US" w:eastAsia="zh-CN"/>
        </w:rPr>
        <w:t>。</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zh-CN" w:eastAsia="zh-CN"/>
        </w:rPr>
        <w:t>1、</w:t>
      </w:r>
      <w:r>
        <w:rPr>
          <w:rStyle w:val="5"/>
          <w:rFonts w:hint="eastAsia" w:ascii="仿宋" w:hAnsi="仿宋" w:eastAsia="仿宋" w:cs="仿宋"/>
          <w:sz w:val="30"/>
          <w:szCs w:val="30"/>
        </w:rPr>
        <w:t>一般公共服务（类） 支出</w:t>
      </w:r>
      <w:r>
        <w:rPr>
          <w:rStyle w:val="5"/>
          <w:rFonts w:hint="eastAsia" w:ascii="仿宋" w:hAnsi="仿宋" w:eastAsia="仿宋" w:cs="仿宋"/>
          <w:sz w:val="30"/>
          <w:szCs w:val="30"/>
          <w:lang w:val="en-US" w:eastAsia="zh-CN"/>
        </w:rPr>
        <w:t>687.26</w:t>
      </w:r>
      <w:r>
        <w:rPr>
          <w:rStyle w:val="5"/>
          <w:rFonts w:hint="eastAsia" w:ascii="仿宋" w:hAnsi="仿宋" w:eastAsia="仿宋" w:cs="仿宋"/>
          <w:sz w:val="30"/>
          <w:szCs w:val="30"/>
        </w:rPr>
        <w:t xml:space="preserve"> 万元</w:t>
      </w:r>
      <w:r>
        <w:rPr>
          <w:rFonts w:hint="eastAsia" w:ascii="仿宋" w:hAnsi="仿宋" w:eastAsia="仿宋" w:cs="仿宋"/>
          <w:kern w:val="0"/>
          <w:sz w:val="30"/>
          <w:szCs w:val="30"/>
          <w:lang w:val="zh-CN" w:eastAsia="zh-CN"/>
        </w:rPr>
        <w:t>，其中：人员工资及津补贴支出</w:t>
      </w:r>
      <w:r>
        <w:rPr>
          <w:rStyle w:val="5"/>
          <w:rFonts w:hint="eastAsia" w:ascii="仿宋" w:hAnsi="仿宋" w:eastAsia="仿宋" w:cs="仿宋"/>
          <w:sz w:val="30"/>
          <w:szCs w:val="30"/>
          <w:lang w:val="en-US" w:eastAsia="zh-CN"/>
        </w:rPr>
        <w:t>587.74</w:t>
      </w:r>
      <w:r>
        <w:rPr>
          <w:rFonts w:hint="eastAsia" w:ascii="仿宋" w:hAnsi="仿宋" w:eastAsia="仿宋" w:cs="仿宋"/>
          <w:kern w:val="0"/>
          <w:sz w:val="30"/>
          <w:szCs w:val="30"/>
          <w:lang w:val="zh-CN" w:eastAsia="zh-CN"/>
        </w:rPr>
        <w:t>万元；三公经费支出</w:t>
      </w:r>
      <w:r>
        <w:rPr>
          <w:rFonts w:hint="eastAsia" w:ascii="仿宋" w:hAnsi="仿宋" w:eastAsia="仿宋" w:cs="仿宋"/>
          <w:kern w:val="0"/>
          <w:sz w:val="30"/>
          <w:szCs w:val="30"/>
          <w:lang w:val="en-US" w:eastAsia="zh-CN"/>
        </w:rPr>
        <w:t>27.01万元，其中</w:t>
      </w:r>
      <w:r>
        <w:rPr>
          <w:rFonts w:hint="eastAsia" w:ascii="仿宋" w:hAnsi="仿宋" w:eastAsia="仿宋" w:cs="仿宋"/>
          <w:kern w:val="0"/>
          <w:sz w:val="30"/>
          <w:szCs w:val="30"/>
          <w:lang w:val="zh-CN" w:eastAsia="zh-CN"/>
        </w:rPr>
        <w:t>公务用车运行维护费</w:t>
      </w:r>
      <w:r>
        <w:rPr>
          <w:rFonts w:hint="eastAsia" w:ascii="仿宋" w:hAnsi="仿宋" w:eastAsia="仿宋" w:cs="仿宋"/>
          <w:kern w:val="0"/>
          <w:sz w:val="30"/>
          <w:szCs w:val="30"/>
          <w:lang w:val="en-US" w:eastAsia="zh-CN"/>
        </w:rPr>
        <w:t>15.12万元，公务接待费11.89万元，因公出国（境）费0万元。</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zh-CN" w:eastAsia="zh-CN"/>
        </w:rPr>
        <w:t>2、</w:t>
      </w:r>
      <w:r>
        <w:rPr>
          <w:rStyle w:val="5"/>
          <w:rFonts w:hint="eastAsia" w:ascii="仿宋" w:hAnsi="仿宋" w:eastAsia="仿宋" w:cs="仿宋"/>
          <w:sz w:val="30"/>
          <w:szCs w:val="30"/>
        </w:rPr>
        <w:t>社会保障和就业（类）支出</w:t>
      </w:r>
      <w:r>
        <w:rPr>
          <w:rStyle w:val="5"/>
          <w:rFonts w:hint="eastAsia" w:ascii="仿宋" w:hAnsi="仿宋" w:eastAsia="仿宋" w:cs="仿宋"/>
          <w:sz w:val="30"/>
          <w:szCs w:val="30"/>
          <w:lang w:val="en-US" w:eastAsia="zh-CN"/>
        </w:rPr>
        <w:t>73.52</w:t>
      </w:r>
      <w:r>
        <w:rPr>
          <w:rStyle w:val="5"/>
          <w:rFonts w:hint="eastAsia" w:ascii="仿宋" w:hAnsi="仿宋" w:eastAsia="仿宋" w:cs="仿宋"/>
          <w:sz w:val="30"/>
          <w:szCs w:val="30"/>
        </w:rPr>
        <w:t>万元</w:t>
      </w:r>
      <w:r>
        <w:rPr>
          <w:rFonts w:hint="eastAsia" w:ascii="仿宋" w:hAnsi="仿宋" w:eastAsia="仿宋" w:cs="仿宋"/>
          <w:kern w:val="0"/>
          <w:sz w:val="30"/>
          <w:szCs w:val="30"/>
          <w:lang w:val="zh-CN" w:eastAsia="zh-CN"/>
        </w:rPr>
        <w:t>；</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left"/>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3、</w:t>
      </w:r>
      <w:r>
        <w:rPr>
          <w:rStyle w:val="5"/>
          <w:rFonts w:hint="eastAsia" w:ascii="仿宋" w:hAnsi="仿宋" w:eastAsia="仿宋" w:cs="仿宋"/>
          <w:sz w:val="30"/>
          <w:szCs w:val="30"/>
        </w:rPr>
        <w:t xml:space="preserve">住房保障（类）支出 </w:t>
      </w:r>
      <w:r>
        <w:rPr>
          <w:rStyle w:val="5"/>
          <w:rFonts w:hint="eastAsia" w:ascii="仿宋" w:hAnsi="仿宋" w:eastAsia="仿宋" w:cs="仿宋"/>
          <w:sz w:val="30"/>
          <w:szCs w:val="30"/>
          <w:lang w:val="en-US" w:eastAsia="zh-CN"/>
        </w:rPr>
        <w:t>56.11</w:t>
      </w:r>
      <w:r>
        <w:rPr>
          <w:rStyle w:val="5"/>
          <w:rFonts w:hint="eastAsia" w:ascii="仿宋" w:hAnsi="仿宋" w:eastAsia="仿宋" w:cs="仿宋"/>
          <w:sz w:val="30"/>
          <w:szCs w:val="30"/>
        </w:rPr>
        <w:t xml:space="preserve"> 万元，占</w:t>
      </w:r>
      <w:r>
        <w:rPr>
          <w:rStyle w:val="5"/>
          <w:rFonts w:hint="eastAsia" w:ascii="仿宋" w:hAnsi="仿宋" w:eastAsia="仿宋" w:cs="仿宋"/>
          <w:sz w:val="30"/>
          <w:szCs w:val="30"/>
          <w:lang w:val="en-US" w:eastAsia="zh-CN"/>
        </w:rPr>
        <w:t>0.83</w:t>
      </w:r>
      <w:r>
        <w:rPr>
          <w:rStyle w:val="5"/>
          <w:rFonts w:hint="eastAsia" w:ascii="仿宋" w:hAnsi="仿宋" w:eastAsia="仿宋" w:cs="仿宋"/>
          <w:sz w:val="30"/>
          <w:szCs w:val="30"/>
        </w:rPr>
        <w:t>%</w:t>
      </w:r>
      <w:r>
        <w:rPr>
          <w:rStyle w:val="5"/>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4、</w:t>
      </w:r>
      <w:r>
        <w:rPr>
          <w:rStyle w:val="5"/>
          <w:rFonts w:hint="eastAsia" w:ascii="仿宋" w:hAnsi="仿宋" w:eastAsia="仿宋" w:cs="仿宋"/>
          <w:sz w:val="30"/>
          <w:szCs w:val="30"/>
        </w:rPr>
        <w:t>节能环保（类）支出</w:t>
      </w:r>
      <w:r>
        <w:rPr>
          <w:rStyle w:val="5"/>
          <w:rFonts w:hint="eastAsia" w:ascii="仿宋" w:hAnsi="仿宋" w:eastAsia="仿宋" w:cs="仿宋"/>
          <w:sz w:val="30"/>
          <w:szCs w:val="30"/>
          <w:lang w:val="en-US" w:eastAsia="zh-CN"/>
        </w:rPr>
        <w:t>8万元。</w:t>
      </w:r>
    </w:p>
    <w:p>
      <w:pPr>
        <w:numPr>
          <w:ilvl w:val="0"/>
          <w:numId w:val="1"/>
        </w:numPr>
        <w:adjustRightInd w:val="0"/>
        <w:snapToGrid w:val="0"/>
        <w:spacing w:line="540" w:lineRule="atLeast"/>
        <w:ind w:left="28" w:leftChars="0" w:firstLine="602" w:firstLineChars="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部门年度整体工作目标任务完成情况</w:t>
      </w:r>
    </w:p>
    <w:p>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镇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adjustRightInd w:val="0"/>
        <w:snapToGrid w:val="0"/>
        <w:spacing w:line="540" w:lineRule="atLeast"/>
        <w:ind w:firstLine="643" w:firstLineChars="200"/>
        <w:rPr>
          <w:rFonts w:ascii="仿宋_GB2312" w:hAnsi="仿宋_GB2312" w:eastAsia="仿宋_GB2312" w:cs="仿宋_GB2312"/>
          <w:bCs/>
          <w:sz w:val="32"/>
          <w:szCs w:val="32"/>
        </w:rPr>
      </w:pPr>
      <w:r>
        <w:rPr>
          <w:rFonts w:hint="eastAsia" w:ascii="仿宋" w:hAnsi="仿宋" w:eastAsia="仿宋" w:cs="仿宋"/>
          <w:b/>
          <w:sz w:val="32"/>
          <w:szCs w:val="32"/>
        </w:rPr>
        <w:t>二、部门整体评价工作开展</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（一）绩效评价实施过程情况，</w:t>
      </w:r>
      <w:r>
        <w:rPr>
          <w:rFonts w:hint="eastAsia" w:ascii="仿宋" w:hAnsi="仿宋" w:eastAsia="仿宋" w:cs="仿宋"/>
          <w:bCs/>
          <w:kern w:val="0"/>
          <w:sz w:val="30"/>
          <w:szCs w:val="30"/>
        </w:rPr>
        <w:t>包括评价方法、工作程序等；</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（二）绩效评价整体结果概况</w:t>
      </w:r>
    </w:p>
    <w:p>
      <w:pPr>
        <w:widowControl/>
        <w:ind w:firstLine="600" w:firstLineChars="200"/>
        <w:rPr>
          <w:rFonts w:hint="eastAsia" w:ascii="仿宋" w:hAnsi="仿宋" w:eastAsia="仿宋" w:cs="仿宋"/>
          <w:bCs/>
          <w:kern w:val="0"/>
          <w:sz w:val="30"/>
          <w:szCs w:val="30"/>
        </w:rPr>
      </w:pPr>
      <w:r>
        <w:rPr>
          <w:rStyle w:val="5"/>
          <w:rFonts w:hint="eastAsia" w:ascii="仿宋" w:hAnsi="仿宋" w:eastAsia="仿宋" w:cs="仿宋"/>
          <w:sz w:val="30"/>
          <w:szCs w:val="30"/>
        </w:rPr>
        <w:t>20</w:t>
      </w:r>
      <w:r>
        <w:rPr>
          <w:rStyle w:val="5"/>
          <w:rFonts w:hint="eastAsia" w:ascii="仿宋" w:hAnsi="仿宋" w:eastAsia="仿宋" w:cs="仿宋"/>
          <w:sz w:val="30"/>
          <w:szCs w:val="30"/>
          <w:lang w:val="en-US" w:eastAsia="zh-CN"/>
        </w:rPr>
        <w:t>21</w:t>
      </w:r>
      <w:r>
        <w:rPr>
          <w:rStyle w:val="5"/>
          <w:rFonts w:hint="eastAsia" w:ascii="仿宋" w:hAnsi="仿宋" w:eastAsia="仿宋" w:cs="仿宋"/>
          <w:sz w:val="30"/>
          <w:szCs w:val="30"/>
        </w:rPr>
        <w:t>年度“三公”经费财政拨款支出</w:t>
      </w:r>
      <w:r>
        <w:rPr>
          <w:rStyle w:val="5"/>
          <w:rFonts w:hint="eastAsia" w:ascii="仿宋" w:hAnsi="仿宋" w:eastAsia="仿宋" w:cs="仿宋"/>
          <w:sz w:val="30"/>
          <w:szCs w:val="30"/>
          <w:lang w:val="en-US" w:eastAsia="zh-CN"/>
        </w:rPr>
        <w:t>27.01</w:t>
      </w:r>
      <w:r>
        <w:rPr>
          <w:rStyle w:val="5"/>
          <w:rFonts w:hint="eastAsia" w:ascii="仿宋" w:hAnsi="仿宋" w:eastAsia="仿宋" w:cs="仿宋"/>
          <w:sz w:val="30"/>
          <w:szCs w:val="30"/>
        </w:rPr>
        <w:t>万元，完成年初预算的</w:t>
      </w:r>
      <w:r>
        <w:rPr>
          <w:rStyle w:val="5"/>
          <w:rFonts w:hint="eastAsia" w:ascii="仿宋" w:hAnsi="仿宋" w:eastAsia="仿宋" w:cs="仿宋"/>
          <w:sz w:val="30"/>
          <w:szCs w:val="30"/>
          <w:lang w:val="en-US" w:eastAsia="zh-CN"/>
        </w:rPr>
        <w:t>99.67</w:t>
      </w:r>
      <w:r>
        <w:rPr>
          <w:rStyle w:val="5"/>
          <w:rFonts w:hint="eastAsia" w:ascii="仿宋" w:hAnsi="仿宋" w:eastAsia="仿宋" w:cs="仿宋"/>
          <w:sz w:val="30"/>
          <w:szCs w:val="30"/>
        </w:rPr>
        <w:t>%，较上年同期</w:t>
      </w:r>
      <w:r>
        <w:rPr>
          <w:rStyle w:val="5"/>
          <w:rFonts w:hint="eastAsia" w:ascii="仿宋" w:hAnsi="仿宋" w:eastAsia="仿宋" w:cs="仿宋"/>
          <w:sz w:val="30"/>
          <w:szCs w:val="30"/>
          <w:lang w:val="en-US" w:eastAsia="zh-CN"/>
        </w:rPr>
        <w:t>减少3</w:t>
      </w:r>
      <w:r>
        <w:rPr>
          <w:rStyle w:val="5"/>
          <w:rFonts w:hint="eastAsia" w:ascii="仿宋" w:hAnsi="仿宋" w:eastAsia="仿宋" w:cs="仿宋"/>
          <w:sz w:val="30"/>
          <w:szCs w:val="30"/>
        </w:rPr>
        <w:t>万元，</w:t>
      </w:r>
      <w:r>
        <w:rPr>
          <w:rStyle w:val="5"/>
          <w:rFonts w:hint="eastAsia" w:ascii="仿宋" w:hAnsi="仿宋" w:eastAsia="仿宋" w:cs="仿宋"/>
          <w:sz w:val="30"/>
          <w:szCs w:val="30"/>
          <w:lang w:val="en-US" w:eastAsia="zh-CN"/>
        </w:rPr>
        <w:t>减少9.99</w:t>
      </w:r>
      <w:r>
        <w:rPr>
          <w:rStyle w:val="5"/>
          <w:rFonts w:hint="eastAsia" w:ascii="仿宋" w:hAnsi="仿宋" w:eastAsia="仿宋" w:cs="仿宋"/>
          <w:sz w:val="30"/>
          <w:szCs w:val="30"/>
        </w:rPr>
        <w:t>%；其中：公务接待支出</w:t>
      </w:r>
      <w:r>
        <w:rPr>
          <w:rStyle w:val="5"/>
          <w:rFonts w:hint="eastAsia" w:ascii="仿宋" w:hAnsi="仿宋" w:eastAsia="仿宋" w:cs="仿宋"/>
          <w:sz w:val="30"/>
          <w:szCs w:val="30"/>
          <w:lang w:val="en-US" w:eastAsia="zh-CN"/>
        </w:rPr>
        <w:t>11.89</w:t>
      </w:r>
      <w:r>
        <w:rPr>
          <w:rStyle w:val="5"/>
          <w:rFonts w:hint="eastAsia" w:ascii="仿宋" w:hAnsi="仿宋" w:eastAsia="仿宋" w:cs="仿宋"/>
          <w:sz w:val="30"/>
          <w:szCs w:val="30"/>
        </w:rPr>
        <w:t>万元，完成年初预算的</w:t>
      </w:r>
      <w:r>
        <w:rPr>
          <w:rStyle w:val="5"/>
          <w:rFonts w:hint="eastAsia" w:ascii="仿宋" w:hAnsi="仿宋" w:eastAsia="仿宋" w:cs="仿宋"/>
          <w:sz w:val="30"/>
          <w:szCs w:val="30"/>
          <w:lang w:val="en-US" w:eastAsia="zh-CN"/>
        </w:rPr>
        <w:t>99.33</w:t>
      </w:r>
      <w:r>
        <w:rPr>
          <w:rStyle w:val="5"/>
          <w:rFonts w:hint="eastAsia" w:ascii="仿宋" w:hAnsi="仿宋" w:eastAsia="仿宋" w:cs="仿宋"/>
          <w:sz w:val="30"/>
          <w:szCs w:val="30"/>
        </w:rPr>
        <w:t>%，较上年同期</w:t>
      </w:r>
      <w:r>
        <w:rPr>
          <w:rStyle w:val="5"/>
          <w:rFonts w:hint="eastAsia" w:ascii="仿宋" w:hAnsi="仿宋" w:eastAsia="仿宋" w:cs="仿宋"/>
          <w:sz w:val="30"/>
          <w:szCs w:val="30"/>
          <w:lang w:val="en-US" w:eastAsia="zh-CN"/>
        </w:rPr>
        <w:t>减少1.32</w:t>
      </w:r>
      <w:r>
        <w:rPr>
          <w:rStyle w:val="5"/>
          <w:rFonts w:hint="eastAsia" w:ascii="仿宋" w:hAnsi="仿宋" w:eastAsia="仿宋" w:cs="仿宋"/>
          <w:sz w:val="30"/>
          <w:szCs w:val="30"/>
        </w:rPr>
        <w:t>万元，</w:t>
      </w:r>
      <w:r>
        <w:rPr>
          <w:rStyle w:val="5"/>
          <w:rFonts w:hint="eastAsia" w:ascii="仿宋" w:hAnsi="仿宋" w:eastAsia="仿宋" w:cs="仿宋"/>
          <w:sz w:val="30"/>
          <w:szCs w:val="30"/>
          <w:lang w:val="en-US" w:eastAsia="zh-CN"/>
        </w:rPr>
        <w:t>减少9.99</w:t>
      </w:r>
      <w:r>
        <w:rPr>
          <w:rStyle w:val="5"/>
          <w:rFonts w:hint="eastAsia" w:ascii="仿宋" w:hAnsi="仿宋" w:eastAsia="仿宋" w:cs="仿宋"/>
          <w:color w:val="000000"/>
          <w:sz w:val="30"/>
          <w:szCs w:val="30"/>
        </w:rPr>
        <w:t>%</w:t>
      </w:r>
      <w:r>
        <w:rPr>
          <w:rStyle w:val="5"/>
          <w:rFonts w:hint="eastAsia" w:ascii="仿宋" w:hAnsi="仿宋" w:eastAsia="仿宋" w:cs="仿宋"/>
          <w:color w:val="0000FF"/>
          <w:sz w:val="30"/>
          <w:szCs w:val="30"/>
        </w:rPr>
        <w:t>；</w:t>
      </w:r>
      <w:r>
        <w:rPr>
          <w:rStyle w:val="5"/>
          <w:rFonts w:hint="eastAsia" w:ascii="仿宋" w:hAnsi="仿宋" w:eastAsia="仿宋" w:cs="仿宋"/>
          <w:sz w:val="30"/>
          <w:szCs w:val="30"/>
        </w:rPr>
        <w:t>公务用车运行及维护费支出</w:t>
      </w:r>
      <w:r>
        <w:rPr>
          <w:rStyle w:val="5"/>
          <w:rFonts w:hint="eastAsia" w:ascii="仿宋" w:hAnsi="仿宋" w:eastAsia="仿宋" w:cs="仿宋"/>
          <w:sz w:val="30"/>
          <w:szCs w:val="30"/>
          <w:lang w:val="en-US" w:eastAsia="zh-CN"/>
        </w:rPr>
        <w:t>15.12</w:t>
      </w:r>
      <w:r>
        <w:rPr>
          <w:rStyle w:val="5"/>
          <w:rFonts w:hint="eastAsia" w:ascii="仿宋" w:hAnsi="仿宋" w:eastAsia="仿宋" w:cs="仿宋"/>
          <w:sz w:val="30"/>
          <w:szCs w:val="30"/>
        </w:rPr>
        <w:t>万元，完成年初预算的</w:t>
      </w:r>
      <w:r>
        <w:rPr>
          <w:rStyle w:val="5"/>
          <w:rFonts w:hint="eastAsia" w:ascii="仿宋" w:hAnsi="仿宋" w:eastAsia="仿宋" w:cs="仿宋"/>
          <w:sz w:val="30"/>
          <w:szCs w:val="30"/>
          <w:lang w:val="en-US" w:eastAsia="zh-CN"/>
        </w:rPr>
        <w:t>99.93</w:t>
      </w:r>
      <w:r>
        <w:rPr>
          <w:rStyle w:val="5"/>
          <w:rFonts w:hint="eastAsia" w:ascii="仿宋" w:hAnsi="仿宋" w:eastAsia="仿宋" w:cs="仿宋"/>
          <w:sz w:val="30"/>
          <w:szCs w:val="30"/>
        </w:rPr>
        <w:t>%，较上年同期减少</w:t>
      </w:r>
      <w:r>
        <w:rPr>
          <w:rStyle w:val="5"/>
          <w:rFonts w:hint="eastAsia" w:ascii="仿宋" w:hAnsi="仿宋" w:eastAsia="仿宋" w:cs="仿宋"/>
          <w:sz w:val="30"/>
          <w:szCs w:val="30"/>
          <w:lang w:val="en-US" w:eastAsia="zh-CN"/>
        </w:rPr>
        <w:t>1.68</w:t>
      </w:r>
      <w:r>
        <w:rPr>
          <w:rStyle w:val="5"/>
          <w:rFonts w:hint="eastAsia" w:ascii="仿宋" w:hAnsi="仿宋" w:eastAsia="仿宋" w:cs="仿宋"/>
          <w:sz w:val="30"/>
          <w:szCs w:val="30"/>
        </w:rPr>
        <w:t>万元，下降</w:t>
      </w:r>
      <w:r>
        <w:rPr>
          <w:rStyle w:val="5"/>
          <w:rFonts w:hint="eastAsia" w:ascii="仿宋" w:hAnsi="仿宋" w:eastAsia="仿宋" w:cs="仿宋"/>
          <w:sz w:val="30"/>
          <w:szCs w:val="30"/>
          <w:lang w:val="en-US" w:eastAsia="zh-CN"/>
        </w:rPr>
        <w:t>10</w:t>
      </w:r>
      <w:r>
        <w:rPr>
          <w:rStyle w:val="5"/>
          <w:rFonts w:hint="eastAsia" w:ascii="仿宋" w:hAnsi="仿宋" w:eastAsia="仿宋" w:cs="仿宋"/>
          <w:sz w:val="30"/>
          <w:szCs w:val="30"/>
        </w:rPr>
        <w:t>%；本年度未发生和因公出国（境）费支出。“三公”经费下降的主要原因是认真贯彻落实中央“八项规定”精神和厉行节约要求，进一步从严控制“三公”经费开支，全年实际支出比预算有所节约。</w:t>
      </w:r>
    </w:p>
    <w:p>
      <w:pPr>
        <w:adjustRightInd w:val="0"/>
        <w:snapToGrid w:val="0"/>
        <w:spacing w:line="540" w:lineRule="atLeast"/>
        <w:ind w:firstLine="643"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32"/>
          <w:szCs w:val="32"/>
        </w:rPr>
        <w:t>三、部门整体支出绩效评价分析</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_GB2312" w:hAnsi="仿宋_GB2312" w:eastAsia="仿宋_GB2312" w:cs="仿宋_GB2312"/>
          <w:kern w:val="0"/>
          <w:sz w:val="30"/>
          <w:szCs w:val="30"/>
        </w:rPr>
        <w:t>（</w:t>
      </w:r>
      <w:r>
        <w:rPr>
          <w:rFonts w:hint="eastAsia" w:ascii="仿宋" w:hAnsi="仿宋" w:eastAsia="仿宋" w:cs="仿宋"/>
          <w:kern w:val="0"/>
          <w:sz w:val="30"/>
          <w:szCs w:val="30"/>
        </w:rPr>
        <w:t>一）投入情况分析，包括预算编制、目标设定分析等；</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（二）执行管理情况分析，包括资金执行进度、调整情况、成本控制情况分析及项目完成进度情况等。</w:t>
      </w:r>
    </w:p>
    <w:p>
      <w:pPr>
        <w:adjustRightInd w:val="0"/>
        <w:snapToGrid w:val="0"/>
        <w:spacing w:line="540" w:lineRule="atLeast"/>
        <w:ind w:firstLine="600" w:firstLineChars="200"/>
        <w:rPr>
          <w:rFonts w:hint="eastAsia" w:ascii="仿宋" w:hAnsi="仿宋" w:eastAsia="仿宋" w:cs="仿宋"/>
          <w:b/>
          <w:sz w:val="30"/>
          <w:szCs w:val="30"/>
        </w:rPr>
      </w:pPr>
      <w:r>
        <w:rPr>
          <w:rFonts w:hint="eastAsia" w:ascii="仿宋" w:hAnsi="仿宋" w:eastAsia="仿宋" w:cs="仿宋"/>
          <w:sz w:val="30"/>
          <w:szCs w:val="30"/>
        </w:rPr>
        <w:t>（三）支出绩效情况分析，包括基本支出和项目支出的运行效果情况等。</w:t>
      </w:r>
    </w:p>
    <w:p>
      <w:p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四、存在的问题</w:t>
      </w:r>
    </w:p>
    <w:p>
      <w:pPr>
        <w:adjustRightInd w:val="0"/>
        <w:snapToGrid w:val="0"/>
        <w:spacing w:line="540" w:lineRule="atLeas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30"/>
          <w:szCs w:val="30"/>
          <w:lang w:val="en-US" w:eastAsia="zh-CN"/>
        </w:rPr>
        <w:t xml:space="preserve"> </w:t>
      </w:r>
      <w:r>
        <w:rPr>
          <w:rFonts w:hint="eastAsia" w:ascii="仿宋" w:hAnsi="仿宋" w:eastAsia="仿宋" w:cs="仿宋"/>
          <w:b w:val="0"/>
          <w:bCs/>
          <w:sz w:val="30"/>
          <w:szCs w:val="30"/>
          <w:lang w:val="en-US" w:eastAsia="zh-CN"/>
        </w:rPr>
        <w:t>存在的问题：</w:t>
      </w:r>
      <w:r>
        <w:rPr>
          <w:rFonts w:hint="eastAsia" w:ascii="仿宋" w:hAnsi="仿宋" w:eastAsia="仿宋" w:cs="仿宋"/>
          <w:color w:val="3D3D3D"/>
          <w:sz w:val="30"/>
          <w:szCs w:val="30"/>
          <w:shd w:val="clear" w:color="auto" w:fill="FFFFFF"/>
        </w:rPr>
        <w:t>未明确产出效益，未细化分解了明确的绩效指标。项目绩效指标设计不够明确。在项目资金使用上，项目资金监管不到位，无具体使用明细，存在需要完善的风险控制环节。</w:t>
      </w:r>
    </w:p>
    <w:p>
      <w:pPr>
        <w:numPr>
          <w:ilvl w:val="0"/>
          <w:numId w:val="2"/>
        </w:num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整改措施或建议</w:t>
      </w:r>
    </w:p>
    <w:p>
      <w:pPr>
        <w:adjustRightInd w:val="0"/>
        <w:snapToGrid w:val="0"/>
        <w:spacing w:line="540" w:lineRule="atLeast"/>
        <w:ind w:firstLine="562" w:firstLineChars="200"/>
        <w:rPr>
          <w:rFonts w:hint="eastAsia" w:ascii="仿宋" w:hAnsi="仿宋" w:eastAsia="仿宋" w:cs="仿宋"/>
          <w:b w:val="0"/>
          <w:bCs/>
          <w:sz w:val="30"/>
          <w:szCs w:val="30"/>
          <w:lang w:val="en-US" w:eastAsia="zh-CN"/>
        </w:rPr>
      </w:pPr>
      <w:r>
        <w:rPr>
          <w:rFonts w:hint="eastAsia" w:ascii="仿宋_GB2312" w:hAnsi="仿宋_GB2312" w:eastAsia="仿宋_GB2312" w:cs="仿宋_GB2312"/>
          <w:b/>
          <w:sz w:val="28"/>
          <w:szCs w:val="28"/>
          <w:lang w:val="en-US" w:eastAsia="zh-CN"/>
        </w:rPr>
        <w:t xml:space="preserve">      </w:t>
      </w:r>
      <w:r>
        <w:rPr>
          <w:rFonts w:hint="eastAsia" w:ascii="仿宋" w:hAnsi="仿宋" w:eastAsia="仿宋" w:cs="仿宋"/>
          <w:b w:val="0"/>
          <w:bCs/>
          <w:sz w:val="30"/>
          <w:szCs w:val="30"/>
          <w:lang w:val="en-US" w:eastAsia="zh-CN"/>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adjustRightInd w:val="0"/>
        <w:snapToGrid w:val="0"/>
        <w:spacing w:line="540" w:lineRule="atLeast"/>
        <w:ind w:firstLine="600" w:firstLineChars="2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 加强财务管理，严格财务审核。加强单位财务管理，健全单位财务管理制度体系，规范单位财务行为。在报账审核支付时，按照预算规定的费用项目和用途进行资金使用审核、列报支付、财务核算，杜绝超支现象的发生。</w:t>
      </w:r>
    </w:p>
    <w:p>
      <w:pPr>
        <w:adjustRightInd w:val="0"/>
        <w:snapToGrid w:val="0"/>
        <w:spacing w:line="540" w:lineRule="atLeast"/>
        <w:ind w:firstLine="562" w:firstLineChars="200"/>
        <w:rPr>
          <w:rFonts w:eastAsia="仿宋_GB2312"/>
          <w:sz w:val="28"/>
          <w:szCs w:val="28"/>
        </w:rPr>
      </w:pPr>
      <w:r>
        <w:rPr>
          <w:rFonts w:hint="eastAsia" w:ascii="仿宋_GB2312" w:hAnsi="仿宋_GB2312" w:eastAsia="仿宋_GB2312" w:cs="仿宋_GB2312"/>
          <w:b/>
          <w:sz w:val="28"/>
          <w:szCs w:val="28"/>
        </w:rPr>
        <w:t>六、其他需要说明的问题</w:t>
      </w:r>
    </w:p>
    <w:p>
      <w:pPr>
        <w:adjustRightInd w:val="0"/>
        <w:snapToGrid w:val="0"/>
        <w:spacing w:line="540" w:lineRule="atLeast"/>
        <w:ind w:firstLine="900" w:firstLineChars="3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无</w:t>
      </w:r>
    </w:p>
    <w:p>
      <w:pPr>
        <w:numPr>
          <w:ilvl w:val="0"/>
          <w:numId w:val="0"/>
        </w:numPr>
        <w:adjustRightInd w:val="0"/>
        <w:snapToGrid w:val="0"/>
        <w:spacing w:line="540" w:lineRule="atLeast"/>
        <w:rPr>
          <w:rFonts w:hint="eastAsia" w:ascii="仿宋_GB2312" w:hAnsi="仿宋_GB2312" w:eastAsia="仿宋_GB2312" w:cs="仿宋_GB2312"/>
          <w:b w:val="0"/>
          <w:bCs/>
          <w:sz w:val="28"/>
          <w:szCs w:val="28"/>
          <w:lang w:val="en-US" w:eastAsia="zh-CN"/>
        </w:rPr>
      </w:pPr>
    </w:p>
    <w:p>
      <w:pPr>
        <w:numPr>
          <w:ilvl w:val="0"/>
          <w:numId w:val="0"/>
        </w:numPr>
        <w:adjustRightInd w:val="0"/>
        <w:snapToGrid w:val="0"/>
        <w:spacing w:line="540" w:lineRule="atLeast"/>
        <w:rPr>
          <w:rFonts w:hint="eastAsia" w:ascii="仿宋_GB2312" w:hAnsi="仿宋_GB2312" w:eastAsia="仿宋_GB2312" w:cs="仿宋_GB2312"/>
          <w:b w:val="0"/>
          <w:bCs/>
          <w:sz w:val="28"/>
          <w:szCs w:val="28"/>
          <w:lang w:val="en-US" w:eastAsia="zh-CN"/>
        </w:rPr>
      </w:pPr>
    </w:p>
    <w:p>
      <w:pPr>
        <w:numPr>
          <w:ilvl w:val="0"/>
          <w:numId w:val="0"/>
        </w:numPr>
        <w:adjustRightInd w:val="0"/>
        <w:snapToGrid w:val="0"/>
        <w:spacing w:line="540" w:lineRule="atLeast"/>
        <w:rPr>
          <w:rFonts w:hint="eastAsia" w:ascii="仿宋_GB2312" w:hAnsi="仿宋_GB2312" w:eastAsia="仿宋_GB2312" w:cs="仿宋_GB2312"/>
          <w:b w:val="0"/>
          <w:bCs/>
          <w:sz w:val="28"/>
          <w:szCs w:val="28"/>
          <w:lang w:val="en-US" w:eastAsia="zh-CN"/>
        </w:rPr>
      </w:pPr>
      <w:bookmarkStart w:id="0" w:name="_GoBack"/>
      <w:bookmarkEnd w:id="0"/>
    </w:p>
    <w:p>
      <w:pPr>
        <w:numPr>
          <w:ilvl w:val="0"/>
          <w:numId w:val="0"/>
        </w:numPr>
        <w:adjustRightInd w:val="0"/>
        <w:snapToGrid w:val="0"/>
        <w:spacing w:line="540" w:lineRule="atLeast"/>
        <w:ind w:firstLine="840" w:firstLineChars="300"/>
        <w:rPr>
          <w:rFonts w:hint="eastAsia" w:ascii="仿宋" w:hAnsi="仿宋" w:eastAsia="仿宋" w:cs="仿宋"/>
          <w:b w:val="0"/>
          <w:bCs/>
          <w:sz w:val="30"/>
          <w:szCs w:val="30"/>
          <w:lang w:val="en-US" w:eastAsia="zh-CN"/>
        </w:rPr>
      </w:pPr>
      <w:r>
        <w:rPr>
          <w:rFonts w:hint="eastAsia" w:ascii="仿宋_GB2312" w:hAnsi="仿宋_GB2312" w:eastAsia="仿宋_GB2312" w:cs="仿宋_GB2312"/>
          <w:b w:val="0"/>
          <w:bCs/>
          <w:sz w:val="28"/>
          <w:szCs w:val="28"/>
          <w:lang w:val="en-US" w:eastAsia="zh-CN"/>
        </w:rPr>
        <w:t xml:space="preserve">                            </w:t>
      </w:r>
      <w:r>
        <w:rPr>
          <w:rFonts w:hint="eastAsia" w:ascii="宋体" w:hAnsi="宋体" w:eastAsia="宋体" w:cs="宋体"/>
          <w:b w:val="0"/>
          <w:bCs/>
          <w:sz w:val="30"/>
          <w:szCs w:val="30"/>
          <w:lang w:val="en-US" w:eastAsia="zh-CN"/>
        </w:rPr>
        <w:t xml:space="preserve"> </w:t>
      </w:r>
      <w:r>
        <w:rPr>
          <w:rFonts w:hint="eastAsia" w:ascii="仿宋" w:hAnsi="仿宋" w:eastAsia="仿宋" w:cs="仿宋"/>
          <w:b w:val="0"/>
          <w:bCs/>
          <w:sz w:val="30"/>
          <w:szCs w:val="30"/>
          <w:lang w:val="en-US" w:eastAsia="zh-CN"/>
        </w:rPr>
        <w:t>辰溪县龙泉岩乡人民政府</w:t>
      </w:r>
    </w:p>
    <w:p>
      <w:pPr>
        <w:ind w:firstLine="4500" w:firstLineChars="1500"/>
        <w:rPr>
          <w:rFonts w:hint="eastAsia" w:ascii="仿宋" w:hAnsi="仿宋" w:eastAsia="仿宋" w:cs="仿宋"/>
          <w:b/>
          <w:sz w:val="30"/>
          <w:szCs w:val="30"/>
        </w:rPr>
      </w:pPr>
      <w:r>
        <w:rPr>
          <w:rFonts w:hint="eastAsia" w:ascii="仿宋" w:hAnsi="仿宋" w:eastAsia="仿宋" w:cs="仿宋"/>
          <w:color w:val="auto"/>
          <w:kern w:val="0"/>
          <w:sz w:val="30"/>
          <w:szCs w:val="30"/>
          <w:lang w:val="en-US" w:eastAsia="zh-CN"/>
        </w:rPr>
        <w:t xml:space="preserve">      2022年4月15日</w:t>
      </w:r>
      <w:r>
        <w:rPr>
          <w:rFonts w:hint="eastAsia" w:ascii="仿宋" w:hAnsi="仿宋" w:eastAsia="仿宋" w:cs="仿宋"/>
          <w:color w:val="auto"/>
          <w:kern w:val="0"/>
          <w:sz w:val="30"/>
          <w:szCs w:val="30"/>
        </w:rPr>
        <w:t xml:space="preserve"> </w:t>
      </w:r>
    </w:p>
    <w:p>
      <w:pPr>
        <w:ind w:left="210" w:leftChars="100"/>
        <w:rPr>
          <w:rFonts w:hint="eastAsia" w:ascii="宋体" w:hAnsi="宋体" w:eastAsia="宋体" w:cs="宋体"/>
          <w:b/>
          <w:sz w:val="28"/>
          <w:szCs w:val="28"/>
        </w:rPr>
      </w:pPr>
    </w:p>
    <w:p>
      <w:pPr>
        <w:numPr>
          <w:ilvl w:val="0"/>
          <w:numId w:val="0"/>
        </w:numPr>
        <w:adjustRightInd w:val="0"/>
        <w:snapToGrid w:val="0"/>
        <w:spacing w:line="540" w:lineRule="atLeast"/>
        <w:ind w:firstLine="840" w:firstLineChars="300"/>
        <w:rPr>
          <w:rFonts w:hint="default" w:ascii="仿宋_GB2312" w:hAnsi="仿宋_GB2312" w:eastAsia="仿宋_GB2312" w:cs="仿宋_GB2312"/>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B848"/>
    <w:multiLevelType w:val="singleLevel"/>
    <w:tmpl w:val="8CAFB848"/>
    <w:lvl w:ilvl="0" w:tentative="0">
      <w:start w:val="5"/>
      <w:numFmt w:val="chineseCounting"/>
      <w:suff w:val="nothing"/>
      <w:lvlText w:val="%1、"/>
      <w:lvlJc w:val="left"/>
      <w:rPr>
        <w:rFonts w:hint="eastAsia"/>
      </w:rPr>
    </w:lvl>
  </w:abstractNum>
  <w:abstractNum w:abstractNumId="1">
    <w:nsid w:val="FCFDA7C6"/>
    <w:multiLevelType w:val="singleLevel"/>
    <w:tmpl w:val="FCFDA7C6"/>
    <w:lvl w:ilvl="0" w:tentative="0">
      <w:start w:val="2"/>
      <w:numFmt w:val="chineseCounting"/>
      <w:suff w:val="nothing"/>
      <w:lvlText w:val="（%1）"/>
      <w:lvlJc w:val="left"/>
      <w:pPr>
        <w:ind w:left="2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DgzYzgzYWE4YjY0OTg1MzlmYTc0ZDNkMzdmMzAifQ=="/>
  </w:docVars>
  <w:rsids>
    <w:rsidRoot w:val="71A933E6"/>
    <w:rsid w:val="00042D45"/>
    <w:rsid w:val="0048334C"/>
    <w:rsid w:val="010C0636"/>
    <w:rsid w:val="01192C1F"/>
    <w:rsid w:val="02987B74"/>
    <w:rsid w:val="039F2A4B"/>
    <w:rsid w:val="03BA28E6"/>
    <w:rsid w:val="03DF1EFE"/>
    <w:rsid w:val="03F843AB"/>
    <w:rsid w:val="04743DAC"/>
    <w:rsid w:val="05FE4192"/>
    <w:rsid w:val="06285F4E"/>
    <w:rsid w:val="06C15852"/>
    <w:rsid w:val="070103DE"/>
    <w:rsid w:val="07397B77"/>
    <w:rsid w:val="075109EC"/>
    <w:rsid w:val="08DB5CDE"/>
    <w:rsid w:val="0A032DC6"/>
    <w:rsid w:val="0A051D81"/>
    <w:rsid w:val="0A1B218E"/>
    <w:rsid w:val="0A1C108A"/>
    <w:rsid w:val="0C41127C"/>
    <w:rsid w:val="0C5E0C6B"/>
    <w:rsid w:val="0D6B035F"/>
    <w:rsid w:val="0D7511DD"/>
    <w:rsid w:val="104F5AB9"/>
    <w:rsid w:val="11D010D8"/>
    <w:rsid w:val="123C676E"/>
    <w:rsid w:val="12962DFA"/>
    <w:rsid w:val="13272725"/>
    <w:rsid w:val="15276B8D"/>
    <w:rsid w:val="15CF16A7"/>
    <w:rsid w:val="15EA0BE7"/>
    <w:rsid w:val="186B1B5B"/>
    <w:rsid w:val="19143FA0"/>
    <w:rsid w:val="1B0D514B"/>
    <w:rsid w:val="1B3F1A6D"/>
    <w:rsid w:val="1BAC5D56"/>
    <w:rsid w:val="1C0D4CD7"/>
    <w:rsid w:val="1D9E2BD6"/>
    <w:rsid w:val="1E0250BA"/>
    <w:rsid w:val="1F2760B0"/>
    <w:rsid w:val="2023096B"/>
    <w:rsid w:val="207D242B"/>
    <w:rsid w:val="229055EC"/>
    <w:rsid w:val="22CE3412"/>
    <w:rsid w:val="22FE5379"/>
    <w:rsid w:val="231132FF"/>
    <w:rsid w:val="232748D0"/>
    <w:rsid w:val="23A777BF"/>
    <w:rsid w:val="23BD6FE3"/>
    <w:rsid w:val="2432352D"/>
    <w:rsid w:val="24C525F3"/>
    <w:rsid w:val="27C60B5C"/>
    <w:rsid w:val="27E86D24"/>
    <w:rsid w:val="28C037FD"/>
    <w:rsid w:val="294361DC"/>
    <w:rsid w:val="29DA08EE"/>
    <w:rsid w:val="2A0E67EA"/>
    <w:rsid w:val="2D0A14EA"/>
    <w:rsid w:val="2D0B0DBF"/>
    <w:rsid w:val="2DE0049D"/>
    <w:rsid w:val="2ED00512"/>
    <w:rsid w:val="2F9B1B8F"/>
    <w:rsid w:val="2FDB4595"/>
    <w:rsid w:val="30B11C7D"/>
    <w:rsid w:val="32B51EF8"/>
    <w:rsid w:val="33615BDC"/>
    <w:rsid w:val="336E3E55"/>
    <w:rsid w:val="33A144D4"/>
    <w:rsid w:val="34232E92"/>
    <w:rsid w:val="34DD3524"/>
    <w:rsid w:val="359978AF"/>
    <w:rsid w:val="36315ED4"/>
    <w:rsid w:val="36745C27"/>
    <w:rsid w:val="36B21670"/>
    <w:rsid w:val="37A91900"/>
    <w:rsid w:val="395C7C76"/>
    <w:rsid w:val="39BD78E5"/>
    <w:rsid w:val="3A1219DE"/>
    <w:rsid w:val="3BAB20EB"/>
    <w:rsid w:val="3C353CC0"/>
    <w:rsid w:val="3CED04E1"/>
    <w:rsid w:val="3D2C21EF"/>
    <w:rsid w:val="3D9B78AE"/>
    <w:rsid w:val="3E942579"/>
    <w:rsid w:val="3EE24A31"/>
    <w:rsid w:val="404843AC"/>
    <w:rsid w:val="40956EC5"/>
    <w:rsid w:val="4278084D"/>
    <w:rsid w:val="449776B0"/>
    <w:rsid w:val="44F22B38"/>
    <w:rsid w:val="45575091"/>
    <w:rsid w:val="45795008"/>
    <w:rsid w:val="4597723C"/>
    <w:rsid w:val="47051DF3"/>
    <w:rsid w:val="474E7DCE"/>
    <w:rsid w:val="4847319B"/>
    <w:rsid w:val="49894B4E"/>
    <w:rsid w:val="49AC5ADF"/>
    <w:rsid w:val="4B614574"/>
    <w:rsid w:val="4BCD39B7"/>
    <w:rsid w:val="4D946E30"/>
    <w:rsid w:val="4DAD1CF2"/>
    <w:rsid w:val="4E453CD9"/>
    <w:rsid w:val="4E9609D8"/>
    <w:rsid w:val="4EB160F6"/>
    <w:rsid w:val="4FB91B07"/>
    <w:rsid w:val="507C59AC"/>
    <w:rsid w:val="50B21583"/>
    <w:rsid w:val="50E616B4"/>
    <w:rsid w:val="51114346"/>
    <w:rsid w:val="51121E6C"/>
    <w:rsid w:val="51F021AD"/>
    <w:rsid w:val="52483D98"/>
    <w:rsid w:val="5294522F"/>
    <w:rsid w:val="52A80CDA"/>
    <w:rsid w:val="531A11E6"/>
    <w:rsid w:val="561548D9"/>
    <w:rsid w:val="571526B6"/>
    <w:rsid w:val="582232DD"/>
    <w:rsid w:val="58353010"/>
    <w:rsid w:val="58D16DB9"/>
    <w:rsid w:val="58E81E30"/>
    <w:rsid w:val="59CE54CA"/>
    <w:rsid w:val="5A67147B"/>
    <w:rsid w:val="5A6F4884"/>
    <w:rsid w:val="5ADF1E21"/>
    <w:rsid w:val="5B392E17"/>
    <w:rsid w:val="5BB26369"/>
    <w:rsid w:val="5C4F5EA6"/>
    <w:rsid w:val="5C7F2AAC"/>
    <w:rsid w:val="5CC42BB4"/>
    <w:rsid w:val="5D3D64C3"/>
    <w:rsid w:val="5DB6023B"/>
    <w:rsid w:val="5E3E24F3"/>
    <w:rsid w:val="5F273851"/>
    <w:rsid w:val="5F742670"/>
    <w:rsid w:val="60591866"/>
    <w:rsid w:val="60C43183"/>
    <w:rsid w:val="638766EA"/>
    <w:rsid w:val="63C96D02"/>
    <w:rsid w:val="64551456"/>
    <w:rsid w:val="64C51278"/>
    <w:rsid w:val="65E64613"/>
    <w:rsid w:val="662A7261"/>
    <w:rsid w:val="66377F53"/>
    <w:rsid w:val="66C7577B"/>
    <w:rsid w:val="67191D4F"/>
    <w:rsid w:val="6A102F95"/>
    <w:rsid w:val="6A2213C4"/>
    <w:rsid w:val="6A99742E"/>
    <w:rsid w:val="6C8B724B"/>
    <w:rsid w:val="6C9C3206"/>
    <w:rsid w:val="6CA95923"/>
    <w:rsid w:val="6DE309C1"/>
    <w:rsid w:val="6E2B3783"/>
    <w:rsid w:val="6E4E6782"/>
    <w:rsid w:val="6EDB186C"/>
    <w:rsid w:val="6F2319BD"/>
    <w:rsid w:val="70FE623D"/>
    <w:rsid w:val="71A933E6"/>
    <w:rsid w:val="71F47640"/>
    <w:rsid w:val="72487E2D"/>
    <w:rsid w:val="731D3201"/>
    <w:rsid w:val="73375A36"/>
    <w:rsid w:val="747B5BAA"/>
    <w:rsid w:val="74E92D60"/>
    <w:rsid w:val="76740D50"/>
    <w:rsid w:val="7693567A"/>
    <w:rsid w:val="78043C65"/>
    <w:rsid w:val="780F5B42"/>
    <w:rsid w:val="796B643A"/>
    <w:rsid w:val="7A6102DC"/>
    <w:rsid w:val="7C507B69"/>
    <w:rsid w:val="7C9C2DAE"/>
    <w:rsid w:val="7CA37C99"/>
    <w:rsid w:val="7CEE4349"/>
    <w:rsid w:val="7D787377"/>
    <w:rsid w:val="7D821FA4"/>
    <w:rsid w:val="7DDA3B8E"/>
    <w:rsid w:val="7E0048C7"/>
    <w:rsid w:val="7E6E02D0"/>
    <w:rsid w:val="7F914402"/>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fontstyle01"/>
    <w:basedOn w:val="4"/>
    <w:uiPriority w:val="0"/>
    <w:rPr>
      <w:rFonts w:hint="eastAsia" w:ascii="仿宋_GB2312" w:eastAsia="仿宋_GB2312"/>
      <w:color w:val="000000"/>
      <w:sz w:val="32"/>
      <w:szCs w:val="32"/>
    </w:rPr>
  </w:style>
  <w:style w:type="character" w:customStyle="1" w:styleId="6">
    <w:name w:val="fontstyle31"/>
    <w:basedOn w:val="4"/>
    <w:qFormat/>
    <w:uiPriority w:val="0"/>
    <w:rPr>
      <w:rFonts w:hint="eastAsia" w:ascii="Gulim" w:hAnsi="Gulim" w:eastAsia="Gulim"/>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3216</Words>
  <Characters>3415</Characters>
  <Lines>0</Lines>
  <Paragraphs>0</Paragraphs>
  <TotalTime>9</TotalTime>
  <ScaleCrop>false</ScaleCrop>
  <LinksUpToDate>false</LinksUpToDate>
  <CharactersWithSpaces>3502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2022-03-31T02:28:00Z</dcterms:created>
  <dc:creator>执子之爪</dc:creator>
  <cp:lastModifiedBy>Administrator</cp:lastModifiedBy>
  <cp:lastPrinted>2022-04-12T07:49:00Z</cp:lastPrinted>
  <dcterms:modified xsi:type="dcterms:W3CDTF">2022-08-03T05:49:12Z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C17182B366204C50BC2E73D328EFC447</vt:lpwstr>
  </property>
</Properties>
</file>