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附件2：</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u w:val="single"/>
          <w:lang w:val="en-US" w:eastAsia="zh-CN"/>
        </w:rPr>
        <w:t>龙泉岩乡人民政府</w:t>
      </w:r>
      <w:r>
        <w:rPr>
          <w:rFonts w:hint="eastAsia" w:ascii="黑体" w:hAnsi="黑体" w:eastAsia="黑体" w:cs="黑体"/>
          <w:sz w:val="36"/>
          <w:szCs w:val="36"/>
          <w:lang w:val="en-US" w:eastAsia="zh-CN"/>
        </w:rPr>
        <w:t>（单位）政务公开负面清单</w:t>
      </w:r>
    </w:p>
    <w:tbl>
      <w:tblPr>
        <w:tblStyle w:val="4"/>
        <w:tblW w:w="885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169"/>
        <w:gridCol w:w="2365"/>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2169"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信息事项类别</w:t>
            </w:r>
          </w:p>
        </w:tc>
        <w:tc>
          <w:tcPr>
            <w:tcW w:w="2365"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信息事项内容</w:t>
            </w:r>
          </w:p>
        </w:tc>
        <w:tc>
          <w:tcPr>
            <w:tcW w:w="3457" w:type="dxa"/>
          </w:tcPr>
          <w:p>
            <w:pPr>
              <w:jc w:val="both"/>
              <w:rPr>
                <w:rFonts w:hint="default" w:ascii="楷体" w:hAnsi="楷体" w:eastAsia="楷体" w:cs="楷体"/>
                <w:b/>
                <w:bCs/>
                <w:sz w:val="36"/>
                <w:szCs w:val="36"/>
                <w:vertAlign w:val="baseline"/>
                <w:lang w:val="en-US" w:eastAsia="zh-CN"/>
              </w:rPr>
            </w:pPr>
            <w:r>
              <w:rPr>
                <w:rFonts w:hint="eastAsia" w:ascii="仿宋" w:hAnsi="仿宋" w:eastAsia="仿宋" w:cs="仿宋"/>
                <w:b/>
                <w:bCs/>
                <w:sz w:val="28"/>
                <w:szCs w:val="28"/>
                <w:vertAlign w:val="baseline"/>
                <w:lang w:val="en-US" w:eastAsia="zh-CN"/>
              </w:rPr>
              <w:t>不予主动公开法律政策依据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default" w:ascii="黑体" w:hAnsi="黑体" w:eastAsia="黑体" w:cs="黑体"/>
                <w:sz w:val="36"/>
                <w:szCs w:val="36"/>
                <w:vertAlign w:val="baseline"/>
                <w:lang w:val="en-US" w:eastAsia="zh-CN"/>
              </w:rPr>
            </w:pPr>
            <w:r>
              <w:rPr>
                <w:rFonts w:hint="eastAsia" w:ascii="仿宋" w:hAnsi="仿宋" w:eastAsia="仿宋" w:cs="仿宋"/>
                <w:sz w:val="24"/>
                <w:szCs w:val="24"/>
                <w:vertAlign w:val="baseline"/>
                <w:lang w:val="en-US" w:eastAsia="zh-CN"/>
              </w:rPr>
              <w:t>1</w:t>
            </w:r>
          </w:p>
        </w:tc>
        <w:tc>
          <w:tcPr>
            <w:tcW w:w="2169"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涉及国家秘密以及危及国家安全、经济安全、公共安全和社会稳定的政府信息。</w:t>
            </w:r>
          </w:p>
        </w:tc>
        <w:tc>
          <w:tcPr>
            <w:tcW w:w="2365"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公开后危及国家安全、经济安全、公共安全、社会稳定的事项和涉及国家秘密、商业秘密、个人隐私的政府信息不予公开。经法定程序解密后的信息，可由发文机关予以公开。</w:t>
            </w:r>
          </w:p>
        </w:tc>
        <w:tc>
          <w:tcPr>
            <w:tcW w:w="3457"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依据：《中华人民共和国保守国家秘密法实施条例》第十四条：“依法确定为国家秘密的政府信息，法律、行政法规禁止公开的政府信息，以及公开后可能危及国家安全、公共安全、经济安全、社会稳定的政府信息，不予公开。”；《中华人民共和国保守国家秘密法实施条例》第五条。</w:t>
            </w:r>
          </w:p>
          <w:p>
            <w:pPr>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66"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ind w:firstLine="240" w:firstLineChars="100"/>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69"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涉及商业秘密、个人隐私的政府信息</w:t>
            </w:r>
          </w:p>
        </w:tc>
        <w:tc>
          <w:tcPr>
            <w:tcW w:w="2365" w:type="dxa"/>
          </w:tcPr>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受理行政许可、行政审批及其他监管事项中涉及商业秘密或个人隐私的信息。但经权利人同意或者行政机关认为不公开可能对公共利益造成重大影响的政府信息，可以予以公开。</w:t>
            </w:r>
          </w:p>
        </w:tc>
        <w:tc>
          <w:tcPr>
            <w:tcW w:w="3457"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default"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依据：《中华人民共和国政府信息公开条例》十五条；《中华人民共和国法典》第一百一十一条、第一千零三十四条、第一千零三十五条。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66" w:type="dxa"/>
            <w:vMerge w:val="restart"/>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69" w:type="dxa"/>
            <w:vMerge w:val="restart"/>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内部管理信息和过程性信息</w:t>
            </w:r>
          </w:p>
        </w:tc>
        <w:tc>
          <w:tcPr>
            <w:tcW w:w="2365"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人事工作中不予主动公开的信息：包括尚未公布的工资(含津贴、补贴) 、人事、机构编制、职位职称工作的计划、方案和政策； 工资、人事、机构编制、职位职称工作的统计资料；干部任免考察材料；干部的档案及汇总名册；人事处分决定；涉外活动中需要保密的事项。</w:t>
            </w:r>
          </w:p>
        </w:tc>
        <w:tc>
          <w:tcPr>
            <w:tcW w:w="3457"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bookmarkStart w:id="0" w:name="_GoBack"/>
            <w:bookmarkEnd w:id="0"/>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pStyle w:val="2"/>
              <w:keepNext w:val="0"/>
              <w:keepLines w:val="0"/>
              <w:widowControl/>
              <w:suppressLineNumbers w:val="0"/>
              <w:shd w:val="clear" w:fill="FFFFFF"/>
              <w:ind w:left="0" w:firstLine="0"/>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依据：</w:t>
            </w:r>
            <w:r>
              <w:rPr>
                <w:rFonts w:hint="default" w:ascii="仿宋" w:hAnsi="仿宋" w:eastAsia="仿宋" w:cs="仿宋"/>
                <w:b w:val="0"/>
                <w:bCs w:val="0"/>
                <w:kern w:val="2"/>
                <w:sz w:val="24"/>
                <w:szCs w:val="24"/>
                <w:vertAlign w:val="baseline"/>
                <w:lang w:val="en-US" w:eastAsia="zh-CN" w:bidi="ar-SA"/>
              </w:rPr>
              <w:t>《干部人事档案工作条例》</w:t>
            </w:r>
            <w:r>
              <w:rPr>
                <w:rFonts w:hint="eastAsia"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sz w:val="24"/>
                <w:szCs w:val="24"/>
                <w:vertAlign w:val="baseline"/>
                <w:lang w:val="en-US" w:eastAsia="zh-CN"/>
              </w:rPr>
              <w:t>《人事工作中国家秘密及其密级具体范围的规定》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66" w:type="dxa"/>
            <w:vMerge w:val="continue"/>
          </w:tcPr>
          <w:p>
            <w:pPr>
              <w:jc w:val="center"/>
            </w:pPr>
          </w:p>
        </w:tc>
        <w:tc>
          <w:tcPr>
            <w:tcW w:w="2169" w:type="dxa"/>
            <w:vMerge w:val="continue"/>
          </w:tcPr>
          <w:p>
            <w:pPr>
              <w:jc w:val="both"/>
            </w:pPr>
          </w:p>
        </w:tc>
        <w:tc>
          <w:tcPr>
            <w:tcW w:w="2365" w:type="dxa"/>
          </w:tcPr>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拟制中不宜公开的政策文稿； 不宜公开的会议材料、领导讲话材料；不宜公开的内部管理措施、内部统计数据、方案、内部合同和协议文本等；业务工作的管理和监督活动中不宜公开的事项。</w:t>
            </w:r>
          </w:p>
        </w:tc>
        <w:tc>
          <w:tcPr>
            <w:tcW w:w="3457"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依据：《国务院办公厅关于做好政府信息依申请公开工作的意见》《中华人民共和国政府信息公开条例》第十六条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66" w:type="dxa"/>
            <w:vMerge w:val="continue"/>
          </w:tcPr>
          <w:p>
            <w:pPr>
              <w:jc w:val="center"/>
            </w:pPr>
          </w:p>
        </w:tc>
        <w:tc>
          <w:tcPr>
            <w:tcW w:w="2169" w:type="dxa"/>
            <w:vMerge w:val="continue"/>
          </w:tcPr>
          <w:p>
            <w:pPr>
              <w:jc w:val="both"/>
            </w:pPr>
          </w:p>
        </w:tc>
        <w:tc>
          <w:tcPr>
            <w:tcW w:w="2365" w:type="dxa"/>
          </w:tcPr>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正在调查、讨论、处理过程中的信息：履行行政管理职能过程中形成的讨论记录、过程稿、磋商信函、请示报告等过程性信息。</w:t>
            </w:r>
          </w:p>
        </w:tc>
        <w:tc>
          <w:tcPr>
            <w:tcW w:w="3457"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依据：《国务院办公厅关于做好政府信息依申请公开工作的意见》、《中华人民共和国政府信息公开条例》第十六条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eastAsia" w:ascii="仿宋" w:hAnsi="仿宋" w:eastAsia="仿宋" w:cs="仿宋"/>
                <w:sz w:val="24"/>
                <w:szCs w:val="24"/>
                <w:vertAlign w:val="baseline"/>
                <w:lang w:val="en-US" w:eastAsia="zh-CN"/>
              </w:rPr>
            </w:pP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69" w:type="dxa"/>
          </w:tcPr>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需加工、分析的政府信息</w:t>
            </w:r>
          </w:p>
        </w:tc>
        <w:tc>
          <w:tcPr>
            <w:tcW w:w="2365" w:type="dxa"/>
          </w:tcPr>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本单位需汇总、分析、加工或重新制作的政府信息。</w:t>
            </w:r>
          </w:p>
        </w:tc>
        <w:tc>
          <w:tcPr>
            <w:tcW w:w="3457" w:type="dxa"/>
          </w:tcPr>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依据：《中华人民共和国政府信息公开条例》第三十八条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69"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行政执法案卷等信息</w:t>
            </w:r>
          </w:p>
        </w:tc>
        <w:tc>
          <w:tcPr>
            <w:tcW w:w="2365" w:type="dxa"/>
          </w:tcPr>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本单位管理的</w:t>
            </w:r>
            <w:r>
              <w:rPr>
                <w:rFonts w:hint="default" w:ascii="仿宋" w:hAnsi="仿宋" w:eastAsia="仿宋" w:cs="仿宋"/>
                <w:b w:val="0"/>
                <w:bCs w:val="0"/>
                <w:sz w:val="24"/>
                <w:szCs w:val="24"/>
                <w:vertAlign w:val="baseline"/>
                <w:lang w:val="en-US" w:eastAsia="zh-CN"/>
              </w:rPr>
              <w:t>行政执法案卷信息，可以不予公开。查阅案卷登记材料等信息，应当按照相关法律、法规、规章规定办理。</w:t>
            </w:r>
          </w:p>
        </w:tc>
        <w:tc>
          <w:tcPr>
            <w:tcW w:w="3457"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依据：《中华人民共和国政府信息公开条例》第十六条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69" w:type="dxa"/>
          </w:tcPr>
          <w:p>
            <w:pPr>
              <w:jc w:val="both"/>
              <w:rPr>
                <w:rFonts w:hint="default" w:ascii="仿宋" w:hAnsi="仿宋" w:eastAsia="仿宋" w:cs="仿宋"/>
                <w:b w:val="0"/>
                <w:bCs w:val="0"/>
                <w:sz w:val="24"/>
                <w:szCs w:val="24"/>
                <w:vertAlign w:val="baseline"/>
                <w:lang w:val="en-US" w:eastAsia="zh-CN"/>
              </w:rPr>
            </w:pPr>
          </w:p>
          <w:p>
            <w:pPr>
              <w:jc w:val="both"/>
              <w:rPr>
                <w:rFonts w:hint="default" w:ascii="仿宋" w:hAnsi="仿宋" w:eastAsia="仿宋" w:cs="仿宋"/>
                <w:b w:val="0"/>
                <w:bCs w:val="0"/>
                <w:sz w:val="24"/>
                <w:szCs w:val="24"/>
                <w:vertAlign w:val="baseline"/>
                <w:lang w:val="en-US" w:eastAsia="zh-CN"/>
              </w:rPr>
            </w:pPr>
          </w:p>
          <w:p>
            <w:pPr>
              <w:jc w:val="both"/>
              <w:rPr>
                <w:rFonts w:hint="default" w:ascii="仿宋" w:hAnsi="仿宋" w:eastAsia="仿宋" w:cs="仿宋"/>
                <w:b w:val="0"/>
                <w:bCs w:val="0"/>
                <w:sz w:val="24"/>
                <w:szCs w:val="24"/>
                <w:vertAlign w:val="baseline"/>
                <w:lang w:val="en-US" w:eastAsia="zh-CN"/>
              </w:rPr>
            </w:pPr>
          </w:p>
          <w:p>
            <w:pPr>
              <w:jc w:val="both"/>
              <w:rPr>
                <w:rFonts w:hint="eastAsia" w:ascii="黑体" w:hAnsi="黑体" w:eastAsia="黑体" w:cs="黑体"/>
                <w:sz w:val="36"/>
                <w:szCs w:val="36"/>
                <w:vertAlign w:val="baseline"/>
                <w:lang w:val="en-US" w:eastAsia="zh-CN"/>
              </w:rPr>
            </w:pPr>
            <w:r>
              <w:rPr>
                <w:rFonts w:hint="default" w:ascii="仿宋" w:hAnsi="仿宋" w:eastAsia="仿宋" w:cs="仿宋"/>
                <w:b w:val="0"/>
                <w:bCs w:val="0"/>
                <w:sz w:val="24"/>
                <w:szCs w:val="24"/>
                <w:vertAlign w:val="baseline"/>
                <w:lang w:val="en-US" w:eastAsia="zh-CN"/>
              </w:rPr>
              <w:t>工商、不动产登记资料等信息</w:t>
            </w:r>
          </w:p>
        </w:tc>
        <w:tc>
          <w:tcPr>
            <w:tcW w:w="2365" w:type="dxa"/>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本单位管理的</w:t>
            </w:r>
            <w:r>
              <w:rPr>
                <w:rFonts w:hint="default" w:ascii="仿宋" w:hAnsi="仿宋" w:eastAsia="仿宋" w:cs="仿宋"/>
                <w:b w:val="0"/>
                <w:bCs w:val="0"/>
                <w:sz w:val="24"/>
                <w:szCs w:val="24"/>
                <w:vertAlign w:val="baseline"/>
                <w:lang w:val="en-US" w:eastAsia="zh-CN"/>
              </w:rPr>
              <w:t>工商、不动产登记资料等信息可不予公开。有关法律、行政法规对信息的获取有特别规定的，申请人需依照有关法律、行政法规的规定办理</w:t>
            </w:r>
          </w:p>
        </w:tc>
        <w:tc>
          <w:tcPr>
            <w:tcW w:w="3457"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default" w:ascii="黑体" w:hAnsi="黑体" w:eastAsia="黑体" w:cs="黑体"/>
                <w:sz w:val="36"/>
                <w:szCs w:val="36"/>
                <w:vertAlign w:val="baseline"/>
                <w:lang w:val="en-US" w:eastAsia="zh-CN"/>
              </w:rPr>
            </w:pPr>
            <w:r>
              <w:rPr>
                <w:rFonts w:hint="eastAsia" w:ascii="仿宋" w:hAnsi="仿宋" w:eastAsia="仿宋" w:cs="仿宋"/>
                <w:b w:val="0"/>
                <w:bCs w:val="0"/>
                <w:sz w:val="24"/>
                <w:szCs w:val="24"/>
                <w:vertAlign w:val="baseline"/>
                <w:lang w:val="en-US" w:eastAsia="zh-CN"/>
              </w:rPr>
              <w:t>依据：《中华人民共和国政府信息公开条例》第三十六条第七项。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66" w:type="dxa"/>
            <w:vMerge w:val="restart"/>
          </w:tcPr>
          <w:p>
            <w:pPr>
              <w:jc w:val="center"/>
              <w:rPr>
                <w:rFonts w:hint="eastAsia" w:ascii="仿宋" w:hAnsi="仿宋" w:eastAsia="仿宋" w:cs="仿宋"/>
                <w:b w:val="0"/>
                <w:bCs w:val="0"/>
                <w:sz w:val="24"/>
                <w:szCs w:val="24"/>
                <w:vertAlign w:val="baseline"/>
                <w:lang w:val="en-US" w:eastAsia="zh-CN"/>
              </w:rPr>
            </w:pPr>
          </w:p>
          <w:p>
            <w:pPr>
              <w:jc w:val="center"/>
              <w:rPr>
                <w:rFonts w:hint="eastAsia" w:ascii="仿宋" w:hAnsi="仿宋" w:eastAsia="仿宋" w:cs="仿宋"/>
                <w:b w:val="0"/>
                <w:bCs w:val="0"/>
                <w:sz w:val="24"/>
                <w:szCs w:val="24"/>
                <w:vertAlign w:val="baseline"/>
                <w:lang w:val="en-US" w:eastAsia="zh-CN"/>
              </w:rPr>
            </w:pPr>
          </w:p>
          <w:p>
            <w:pPr>
              <w:jc w:val="center"/>
              <w:rPr>
                <w:rFonts w:hint="eastAsia" w:ascii="仿宋" w:hAnsi="仿宋" w:eastAsia="仿宋" w:cs="仿宋"/>
                <w:b w:val="0"/>
                <w:bCs w:val="0"/>
                <w:sz w:val="24"/>
                <w:szCs w:val="24"/>
                <w:vertAlign w:val="baseline"/>
                <w:lang w:val="en-US" w:eastAsia="zh-CN"/>
              </w:rPr>
            </w:pPr>
          </w:p>
          <w:p>
            <w:pPr>
              <w:jc w:val="center"/>
              <w:rPr>
                <w:rFonts w:hint="eastAsia" w:ascii="仿宋" w:hAnsi="仿宋" w:eastAsia="仿宋" w:cs="仿宋"/>
                <w:b w:val="0"/>
                <w:bCs w:val="0"/>
                <w:sz w:val="24"/>
                <w:szCs w:val="24"/>
                <w:vertAlign w:val="baseline"/>
                <w:lang w:val="en-US" w:eastAsia="zh-CN"/>
              </w:rPr>
            </w:pPr>
          </w:p>
          <w:p>
            <w:pPr>
              <w:jc w:val="center"/>
              <w:rPr>
                <w:rFonts w:hint="eastAsia" w:ascii="仿宋" w:hAnsi="仿宋" w:eastAsia="仿宋" w:cs="仿宋"/>
                <w:b w:val="0"/>
                <w:bCs w:val="0"/>
                <w:sz w:val="24"/>
                <w:szCs w:val="24"/>
                <w:vertAlign w:val="baseline"/>
                <w:lang w:val="en-US" w:eastAsia="zh-CN"/>
              </w:rPr>
            </w:pPr>
          </w:p>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2169" w:type="dxa"/>
            <w:vMerge w:val="restart"/>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信访、投诉、举报事项</w:t>
            </w:r>
          </w:p>
        </w:tc>
        <w:tc>
          <w:tcPr>
            <w:tcW w:w="2365" w:type="dxa"/>
          </w:tcPr>
          <w:p>
            <w:pPr>
              <w:jc w:val="both"/>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举报事项、举报受理情况以及与举报人相关的信息，比如检举人的姓名、身份、单位、地址、联系方式，以及检举信原件、复印件。举报奖励审批兑现信息。</w:t>
            </w:r>
          </w:p>
        </w:tc>
        <w:tc>
          <w:tcPr>
            <w:tcW w:w="3457" w:type="dxa"/>
            <w:vMerge w:val="restart"/>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依据：</w:t>
            </w:r>
            <w:r>
              <w:rPr>
                <w:rFonts w:hint="default" w:ascii="仿宋" w:hAnsi="仿宋" w:eastAsia="仿宋" w:cs="仿宋"/>
                <w:b w:val="0"/>
                <w:bCs w:val="0"/>
                <w:sz w:val="24"/>
                <w:szCs w:val="24"/>
                <w:vertAlign w:val="baseline"/>
                <w:lang w:val="en-US" w:eastAsia="zh-CN"/>
              </w:rPr>
              <w:t>《中华人民共和国监察法》第六十五条、《中华人民共和国政府信息公开条例》第三十九条、《中华人民共和国信访条例》第二条</w:t>
            </w: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66" w:type="dxa"/>
            <w:vMerge w:val="continue"/>
          </w:tcPr>
          <w:p>
            <w:pPr>
              <w:jc w:val="center"/>
            </w:pPr>
          </w:p>
        </w:tc>
        <w:tc>
          <w:tcPr>
            <w:tcW w:w="2169" w:type="dxa"/>
            <w:vMerge w:val="continue"/>
          </w:tcPr>
          <w:p>
            <w:pPr>
              <w:jc w:val="both"/>
            </w:pPr>
          </w:p>
        </w:tc>
        <w:tc>
          <w:tcPr>
            <w:tcW w:w="2365" w:type="dxa"/>
          </w:tcPr>
          <w:p>
            <w:pPr>
              <w:jc w:val="both"/>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信访的调查、处理、调查报告、谈话笔录、书证等。</w:t>
            </w:r>
          </w:p>
        </w:tc>
        <w:tc>
          <w:tcPr>
            <w:tcW w:w="3457" w:type="dxa"/>
            <w:vMerge w:val="continue"/>
          </w:tcPr>
          <w:p>
            <w:pPr>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2169"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移交期限届满的档案信息</w:t>
            </w:r>
          </w:p>
        </w:tc>
        <w:tc>
          <w:tcPr>
            <w:tcW w:w="2365" w:type="dxa"/>
          </w:tcPr>
          <w:p>
            <w:pPr>
              <w:jc w:val="both"/>
              <w:rPr>
                <w:rFonts w:hint="default"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移交期限届满的，涉及政府信息公开事项的档案按照档案利用规定办理。</w:t>
            </w:r>
          </w:p>
        </w:tc>
        <w:tc>
          <w:tcPr>
            <w:tcW w:w="3457" w:type="dxa"/>
          </w:tcPr>
          <w:p>
            <w:pPr>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依据：</w:t>
            </w:r>
            <w:r>
              <w:rPr>
                <w:rFonts w:hint="default" w:ascii="仿宋" w:hAnsi="仿宋" w:eastAsia="仿宋" w:cs="仿宋"/>
                <w:b w:val="0"/>
                <w:bCs w:val="0"/>
                <w:sz w:val="24"/>
                <w:szCs w:val="24"/>
                <w:vertAlign w:val="baseline"/>
                <w:lang w:val="en-US" w:eastAsia="zh-CN"/>
              </w:rPr>
              <w:t>《中华人民共和国档案法（2020修订）》（主席令第四十七号）第十五条第二款、《最高人民法院关于审理政府信息公开行政案件若干问题的规定》（法释〔2011〕17号）第七条</w:t>
            </w: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vMerge w:val="restart"/>
          </w:tcPr>
          <w:p>
            <w:pPr>
              <w:jc w:val="center"/>
              <w:rPr>
                <w:rFonts w:hint="eastAsia" w:ascii="仿宋" w:hAnsi="仿宋" w:eastAsia="仿宋" w:cs="仿宋"/>
                <w:b w:val="0"/>
                <w:bCs w:val="0"/>
                <w:sz w:val="24"/>
                <w:szCs w:val="24"/>
                <w:vertAlign w:val="baseline"/>
                <w:lang w:val="en-US" w:eastAsia="zh-CN"/>
              </w:rPr>
            </w:pPr>
          </w:p>
          <w:p>
            <w:pPr>
              <w:jc w:val="center"/>
              <w:rPr>
                <w:rFonts w:hint="eastAsia" w:ascii="仿宋" w:hAnsi="仿宋" w:eastAsia="仿宋" w:cs="仿宋"/>
                <w:b w:val="0"/>
                <w:bCs w:val="0"/>
                <w:sz w:val="24"/>
                <w:szCs w:val="24"/>
                <w:vertAlign w:val="baseline"/>
                <w:lang w:val="en-US" w:eastAsia="zh-CN"/>
              </w:rPr>
            </w:pPr>
          </w:p>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2169" w:type="dxa"/>
            <w:vMerge w:val="restart"/>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不存在的或不属于本机关负责公开的政府信息。重复提出的政府信息公开申请</w:t>
            </w:r>
          </w:p>
        </w:tc>
        <w:tc>
          <w:tcPr>
            <w:tcW w:w="2365" w:type="dxa"/>
          </w:tcPr>
          <w:p>
            <w:pPr>
              <w:jc w:val="both"/>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不存在的或不属于本机关负责公开的政府信息。</w:t>
            </w:r>
          </w:p>
        </w:tc>
        <w:tc>
          <w:tcPr>
            <w:tcW w:w="3457" w:type="dxa"/>
            <w:vMerge w:val="restart"/>
          </w:tcPr>
          <w:p>
            <w:pPr>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依据：</w:t>
            </w:r>
            <w:r>
              <w:rPr>
                <w:rFonts w:hint="default" w:ascii="仿宋" w:hAnsi="仿宋" w:eastAsia="仿宋" w:cs="仿宋"/>
                <w:b w:val="0"/>
                <w:bCs w:val="0"/>
                <w:sz w:val="24"/>
                <w:szCs w:val="24"/>
                <w:vertAlign w:val="baseline"/>
                <w:lang w:val="en-US" w:eastAsia="zh-CN"/>
              </w:rPr>
              <w:t>《中华人民共和国政府信息公开条例》第三十六条</w:t>
            </w:r>
            <w:r>
              <w:rPr>
                <w:rFonts w:hint="eastAsia" w:ascii="仿宋" w:hAnsi="仿宋" w:eastAsia="仿宋" w:cs="仿宋"/>
                <w:b w:val="0"/>
                <w:bCs w:val="0"/>
                <w:sz w:val="24"/>
                <w:szCs w:val="24"/>
                <w:vertAlign w:val="baseline"/>
                <w:lang w:val="en-US" w:eastAsia="zh-CN"/>
              </w:rPr>
              <w:t>；最高人民法院《行政裁定书（2016）最高法行申2855号》。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vMerge w:val="continue"/>
          </w:tcPr>
          <w:p>
            <w:pPr>
              <w:jc w:val="left"/>
            </w:pPr>
          </w:p>
        </w:tc>
        <w:tc>
          <w:tcPr>
            <w:tcW w:w="2169" w:type="dxa"/>
            <w:vMerge w:val="continue"/>
          </w:tcPr>
          <w:p>
            <w:pPr>
              <w:jc w:val="both"/>
            </w:pPr>
          </w:p>
        </w:tc>
        <w:tc>
          <w:tcPr>
            <w:tcW w:w="2365" w:type="dxa"/>
          </w:tcPr>
          <w:p>
            <w:pPr>
              <w:jc w:val="both"/>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重复提出的政府信息公开申请</w:t>
            </w:r>
          </w:p>
        </w:tc>
        <w:tc>
          <w:tcPr>
            <w:tcW w:w="3457" w:type="dxa"/>
            <w:vMerge w:val="continue"/>
          </w:tcPr>
          <w:p>
            <w:pPr>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eastAsia" w:ascii="仿宋" w:hAnsi="仿宋" w:eastAsia="仿宋" w:cs="仿宋"/>
                <w:b w:val="0"/>
                <w:bCs w:val="0"/>
                <w:sz w:val="24"/>
                <w:szCs w:val="24"/>
                <w:vertAlign w:val="baseline"/>
                <w:lang w:val="en-US" w:eastAsia="zh-CN"/>
              </w:rPr>
            </w:pPr>
          </w:p>
          <w:p>
            <w:pPr>
              <w:jc w:val="center"/>
              <w:rPr>
                <w:rFonts w:hint="eastAsia" w:ascii="仿宋" w:hAnsi="仿宋" w:eastAsia="仿宋" w:cs="仿宋"/>
                <w:b w:val="0"/>
                <w:bCs w:val="0"/>
                <w:sz w:val="24"/>
                <w:szCs w:val="24"/>
                <w:vertAlign w:val="baseline"/>
                <w:lang w:val="en-US" w:eastAsia="zh-CN"/>
              </w:rPr>
            </w:pPr>
          </w:p>
          <w:p>
            <w:pPr>
              <w:jc w:val="center"/>
              <w:rPr>
                <w:rFonts w:hint="eastAsia" w:ascii="仿宋" w:hAnsi="仿宋" w:eastAsia="仿宋" w:cs="仿宋"/>
                <w:b w:val="0"/>
                <w:bCs w:val="0"/>
                <w:sz w:val="24"/>
                <w:szCs w:val="24"/>
                <w:vertAlign w:val="baseline"/>
                <w:lang w:val="en-US" w:eastAsia="zh-CN"/>
              </w:rPr>
            </w:pPr>
          </w:p>
          <w:p>
            <w:pPr>
              <w:jc w:val="center"/>
              <w:rPr>
                <w:rFonts w:hint="eastAsia" w:ascii="仿宋" w:hAnsi="仿宋" w:eastAsia="仿宋" w:cs="仿宋"/>
                <w:b w:val="0"/>
                <w:bCs w:val="0"/>
                <w:sz w:val="24"/>
                <w:szCs w:val="24"/>
                <w:vertAlign w:val="baseline"/>
                <w:lang w:val="en-US" w:eastAsia="zh-CN"/>
              </w:rPr>
            </w:pPr>
          </w:p>
          <w:p>
            <w:pPr>
              <w:jc w:val="center"/>
              <w:rPr>
                <w:rFonts w:hint="eastAsia" w:ascii="仿宋" w:hAnsi="仿宋" w:eastAsia="仿宋" w:cs="仿宋"/>
                <w:b w:val="0"/>
                <w:bCs w:val="0"/>
                <w:sz w:val="24"/>
                <w:szCs w:val="24"/>
                <w:vertAlign w:val="baseline"/>
                <w:lang w:val="en-US" w:eastAsia="zh-CN"/>
              </w:rPr>
            </w:pPr>
          </w:p>
          <w:p>
            <w:pPr>
              <w:jc w:val="center"/>
              <w:rPr>
                <w:rFonts w:hint="eastAsia" w:ascii="仿宋" w:hAnsi="仿宋" w:eastAsia="仿宋" w:cs="仿宋"/>
                <w:b w:val="0"/>
                <w:bCs w:val="0"/>
                <w:sz w:val="24"/>
                <w:szCs w:val="24"/>
                <w:vertAlign w:val="baseline"/>
                <w:lang w:val="en-US" w:eastAsia="zh-CN"/>
              </w:rPr>
            </w:pPr>
          </w:p>
          <w:p>
            <w:pPr>
              <w:jc w:val="center"/>
              <w:rPr>
                <w:rFonts w:hint="eastAsia" w:ascii="仿宋" w:hAnsi="仿宋" w:eastAsia="仿宋" w:cs="仿宋"/>
                <w:b w:val="0"/>
                <w:bCs w:val="0"/>
                <w:sz w:val="24"/>
                <w:szCs w:val="24"/>
                <w:vertAlign w:val="baseline"/>
                <w:lang w:val="en-US" w:eastAsia="zh-CN"/>
              </w:rPr>
            </w:pPr>
          </w:p>
          <w:p>
            <w:pPr>
              <w:ind w:firstLine="240" w:firstLineChars="100"/>
              <w:jc w:val="both"/>
              <w:rPr>
                <w:rFonts w:hint="eastAsia" w:ascii="仿宋" w:hAnsi="仿宋" w:eastAsia="仿宋" w:cs="仿宋"/>
                <w:b w:val="0"/>
                <w:bCs w:val="0"/>
                <w:sz w:val="24"/>
                <w:szCs w:val="24"/>
                <w:vertAlign w:val="baseline"/>
                <w:lang w:val="en-US" w:eastAsia="zh-CN"/>
              </w:rPr>
            </w:pPr>
          </w:p>
          <w:p>
            <w:pPr>
              <w:ind w:firstLine="240" w:firstLineChars="10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2169"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ind w:firstLine="480" w:firstLineChars="20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工作秘密</w:t>
            </w:r>
          </w:p>
        </w:tc>
        <w:tc>
          <w:tcPr>
            <w:tcW w:w="2365" w:type="dxa"/>
          </w:tcPr>
          <w:p>
            <w:pPr>
              <w:jc w:val="both"/>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主要包括拟制中不宜公开的政策文稿；不宜公开的会议材料、领导讲话材料；业务工作的管理和监督活动中不宜公开的事项；拟议中的机构设置、工作分工、人事调整和职务任免、奖惩事项；行政管理部门工作人员的档案及其有关材料；正在调查不宜公开的材料、证词、证据和其它事项；不宜公开的内部管理措施、方案等。</w:t>
            </w:r>
          </w:p>
        </w:tc>
        <w:tc>
          <w:tcPr>
            <w:tcW w:w="3457" w:type="dxa"/>
          </w:tcPr>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eastAsia" w:ascii="仿宋" w:hAnsi="仿宋" w:eastAsia="仿宋" w:cs="仿宋"/>
                <w:b w:val="0"/>
                <w:bCs w:val="0"/>
                <w:sz w:val="24"/>
                <w:szCs w:val="24"/>
                <w:vertAlign w:val="baseline"/>
                <w:lang w:val="en-US" w:eastAsia="zh-CN"/>
              </w:rPr>
            </w:pPr>
          </w:p>
          <w:p>
            <w:pPr>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依据：《中华人民共和国公务员法》。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2169" w:type="dxa"/>
          </w:tcPr>
          <w:p>
            <w:pPr>
              <w:jc w:val="both"/>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其他法律、法规禁止公开的信息</w:t>
            </w:r>
          </w:p>
        </w:tc>
        <w:tc>
          <w:tcPr>
            <w:tcW w:w="2365" w:type="dxa"/>
          </w:tcPr>
          <w:p>
            <w:pPr>
              <w:jc w:val="both"/>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行政复议案卷等信息</w:t>
            </w:r>
          </w:p>
        </w:tc>
        <w:tc>
          <w:tcPr>
            <w:tcW w:w="3457" w:type="dxa"/>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依据：《中华人民共和国行政复议法》第二十三条第二款。</w:t>
            </w:r>
          </w:p>
        </w:tc>
      </w:tr>
    </w:tbl>
    <w:p>
      <w:pPr>
        <w:jc w:val="center"/>
        <w:rPr>
          <w:rFonts w:hint="eastAsia" w:ascii="仿宋" w:hAnsi="仿宋" w:eastAsia="仿宋" w:cs="仿宋"/>
          <w:b w:val="0"/>
          <w:bCs w:val="0"/>
          <w:sz w:val="24"/>
          <w:szCs w:val="24"/>
          <w:vertAlign w:val="baseline"/>
          <w:lang w:val="en-US" w:eastAsia="zh-CN"/>
        </w:rPr>
      </w:pPr>
    </w:p>
    <w:p>
      <w:pPr>
        <w:ind w:firstLine="1120" w:firstLineChars="40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说明：1.政务公开负面清单外的事项，原则上都要依法依规予以公开。</w:t>
      </w:r>
    </w:p>
    <w:p>
      <w:pPr>
        <w:ind w:firstLine="1120" w:firstLineChars="400"/>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      2.对纳入负面清单管理的事项，如情况变化，将及时予以调整更新。</w:t>
      </w:r>
    </w:p>
    <w:sectPr>
      <w:pgSz w:w="11906" w:h="16838"/>
      <w:pgMar w:top="1440" w:right="1746"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YWQ1OTc3YmQ5MTM3NjMxNjk0OThjMjU2MTRkZDAifQ=="/>
  </w:docVars>
  <w:rsids>
    <w:rsidRoot w:val="3DAE15C9"/>
    <w:rsid w:val="08493DEA"/>
    <w:rsid w:val="15AE1730"/>
    <w:rsid w:val="174C1201"/>
    <w:rsid w:val="17FB49D5"/>
    <w:rsid w:val="20564E9E"/>
    <w:rsid w:val="2B7B1C5D"/>
    <w:rsid w:val="31B639EF"/>
    <w:rsid w:val="388529F3"/>
    <w:rsid w:val="397A17A6"/>
    <w:rsid w:val="39E9023C"/>
    <w:rsid w:val="3AA765CB"/>
    <w:rsid w:val="3CB60D47"/>
    <w:rsid w:val="3DAE15C9"/>
    <w:rsid w:val="480D7C89"/>
    <w:rsid w:val="4D510618"/>
    <w:rsid w:val="4E5959D6"/>
    <w:rsid w:val="4F1D4C56"/>
    <w:rsid w:val="51DA6E2E"/>
    <w:rsid w:val="524349D3"/>
    <w:rsid w:val="52F201A7"/>
    <w:rsid w:val="53F57F4F"/>
    <w:rsid w:val="58C148A4"/>
    <w:rsid w:val="5E070FAB"/>
    <w:rsid w:val="5E4C2E61"/>
    <w:rsid w:val="5E7D28D7"/>
    <w:rsid w:val="5F0E6369"/>
    <w:rsid w:val="72930C07"/>
    <w:rsid w:val="77D71596"/>
    <w:rsid w:val="7D4C3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1785</Words>
  <Characters>1802</Characters>
  <Lines>0</Lines>
  <Paragraphs>0</Paragraphs>
  <TotalTime>76</TotalTime>
  <ScaleCrop>false</ScaleCrop>
  <LinksUpToDate>false</LinksUpToDate>
  <CharactersWithSpaces>1810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2022-10-11T02:13:00Z</dcterms:created>
  <dc:creator>Fools</dc:creator>
  <cp:lastModifiedBy>Fools</cp:lastModifiedBy>
  <cp:lastPrinted>2022-10-11T04:02:00Z</cp:lastPrinted>
  <dcterms:modified xsi:type="dcterms:W3CDTF">2022-10-18T08:03:14Z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BB327F8CD8C24B6DA284BAEFDBF9D299</vt:lpwstr>
  </property>
</Properties>
</file>