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 w:hAnsi="仿宋" w:eastAsia="仿宋"/>
          <w:sz w:val="24"/>
        </w:rPr>
      </w:pPr>
      <w:r>
        <w:rPr>
          <w:rFonts w:hint="eastAsia" w:ascii="仿宋" w:hAnsi="仿宋" w:eastAsia="仿宋"/>
          <w:sz w:val="24"/>
        </w:rPr>
        <w:t xml:space="preserve"> </w:t>
      </w:r>
    </w:p>
    <w:p>
      <w:pPr>
        <w:spacing w:line="600" w:lineRule="exact"/>
        <w:jc w:val="center"/>
        <w:rPr>
          <w:sz w:val="24"/>
        </w:rPr>
      </w:pPr>
    </w:p>
    <w:p>
      <w:pPr>
        <w:widowControl/>
        <w:spacing w:line="640" w:lineRule="exact"/>
        <w:jc w:val="center"/>
        <w:rPr>
          <w:rFonts w:hint="eastAsia" w:ascii="黑体" w:hAnsi="黑体" w:eastAsia="黑体" w:cs="黑体"/>
          <w:bCs/>
          <w:sz w:val="44"/>
        </w:rPr>
      </w:pPr>
      <w:r>
        <w:rPr>
          <w:rFonts w:hint="eastAsia" w:ascii="黑体" w:hAnsi="黑体" w:eastAsia="黑体" w:cs="黑体"/>
          <w:bCs/>
          <w:sz w:val="44"/>
        </w:rPr>
        <w:t>202</w:t>
      </w:r>
      <w:r>
        <w:rPr>
          <w:rFonts w:hint="eastAsia" w:ascii="黑体" w:hAnsi="黑体" w:eastAsia="黑体" w:cs="黑体"/>
          <w:bCs/>
          <w:sz w:val="44"/>
          <w:lang w:val="en-US" w:eastAsia="zh-CN"/>
        </w:rPr>
        <w:t>4</w:t>
      </w:r>
      <w:r>
        <w:rPr>
          <w:rFonts w:hint="eastAsia" w:ascii="黑体" w:hAnsi="黑体" w:eastAsia="黑体" w:cs="黑体"/>
          <w:bCs/>
          <w:sz w:val="44"/>
        </w:rPr>
        <w:t>年度</w:t>
      </w:r>
      <w:r>
        <w:rPr>
          <w:rFonts w:hint="eastAsia" w:ascii="黑体" w:hAnsi="黑体" w:eastAsia="黑体" w:cs="黑体"/>
          <w:bCs/>
          <w:sz w:val="44"/>
          <w:lang w:eastAsia="zh-CN"/>
        </w:rPr>
        <w:t>小龙门乡政府</w:t>
      </w:r>
      <w:r>
        <w:rPr>
          <w:rFonts w:hint="eastAsia" w:ascii="黑体" w:hAnsi="黑体" w:eastAsia="黑体" w:cs="黑体"/>
          <w:bCs/>
          <w:sz w:val="44"/>
        </w:rPr>
        <w:t>部门整体支出</w:t>
      </w:r>
    </w:p>
    <w:p>
      <w:pPr>
        <w:widowControl/>
        <w:spacing w:line="640" w:lineRule="exact"/>
        <w:jc w:val="center"/>
        <w:rPr>
          <w:rFonts w:hint="eastAsia" w:ascii="黑体" w:hAnsi="黑体" w:eastAsia="黑体" w:cs="黑体"/>
          <w:bCs/>
          <w:sz w:val="44"/>
        </w:rPr>
      </w:pPr>
      <w:r>
        <w:rPr>
          <w:rFonts w:hint="eastAsia" w:ascii="黑体" w:hAnsi="黑体" w:eastAsia="黑体" w:cs="黑体"/>
          <w:bCs/>
          <w:sz w:val="44"/>
        </w:rPr>
        <w:t>绩效自评报告</w:t>
      </w: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rPr>
          <w:sz w:val="24"/>
        </w:rPr>
      </w:pPr>
    </w:p>
    <w:p>
      <w:pPr>
        <w:spacing w:line="600" w:lineRule="exact"/>
        <w:jc w:val="center"/>
        <w:rPr>
          <w:sz w:val="32"/>
          <w:szCs w:val="32"/>
          <w:u w:val="single"/>
        </w:rPr>
      </w:pPr>
      <w:r>
        <w:rPr>
          <w:rFonts w:hint="eastAsia"/>
          <w:sz w:val="32"/>
          <w:szCs w:val="32"/>
        </w:rPr>
        <w:t>部门（单位）名称：</w:t>
      </w:r>
      <w:r>
        <w:rPr>
          <w:rFonts w:hint="eastAsia"/>
          <w:sz w:val="32"/>
          <w:szCs w:val="32"/>
          <w:u w:val="single"/>
        </w:rPr>
        <w:t xml:space="preserve">（盖章）      </w:t>
      </w:r>
    </w:p>
    <w:p>
      <w:pPr>
        <w:spacing w:line="600" w:lineRule="exact"/>
        <w:jc w:val="center"/>
        <w:rPr>
          <w:sz w:val="32"/>
          <w:szCs w:val="32"/>
        </w:rPr>
      </w:pPr>
      <w:r>
        <w:rPr>
          <w:rFonts w:hint="eastAsia"/>
          <w:sz w:val="32"/>
          <w:szCs w:val="32"/>
        </w:rPr>
        <w:t>　　　</w:t>
      </w:r>
      <w:r>
        <w:rPr>
          <w:rFonts w:hint="eastAsia"/>
          <w:sz w:val="32"/>
          <w:szCs w:val="32"/>
          <w:lang w:val="en-US" w:eastAsia="zh-CN"/>
        </w:rPr>
        <w:t>2025</w:t>
      </w:r>
      <w:r>
        <w:rPr>
          <w:rFonts w:hint="eastAsia"/>
          <w:sz w:val="32"/>
          <w:szCs w:val="32"/>
        </w:rPr>
        <w:t xml:space="preserve">年 </w:t>
      </w:r>
      <w:r>
        <w:rPr>
          <w:rFonts w:hint="eastAsia"/>
          <w:sz w:val="32"/>
          <w:szCs w:val="32"/>
          <w:lang w:val="en-US" w:eastAsia="zh-CN"/>
        </w:rPr>
        <w:t>5</w:t>
      </w:r>
      <w:r>
        <w:rPr>
          <w:rFonts w:hint="eastAsia"/>
          <w:sz w:val="32"/>
          <w:szCs w:val="32"/>
        </w:rPr>
        <w:t xml:space="preserve"> 月　</w:t>
      </w:r>
      <w:r>
        <w:rPr>
          <w:rFonts w:hint="eastAsia"/>
          <w:sz w:val="32"/>
          <w:szCs w:val="32"/>
          <w:lang w:val="en-US" w:eastAsia="zh-CN"/>
        </w:rPr>
        <w:t>14</w:t>
      </w:r>
      <w:r>
        <w:rPr>
          <w:rFonts w:hint="eastAsia"/>
          <w:sz w:val="32"/>
          <w:szCs w:val="32"/>
        </w:rPr>
        <w:t xml:space="preserve">  日</w:t>
      </w:r>
    </w:p>
    <w:p>
      <w:pPr>
        <w:spacing w:line="600" w:lineRule="exact"/>
        <w:jc w:val="center"/>
        <w:rPr>
          <w:sz w:val="24"/>
        </w:rPr>
      </w:pPr>
      <w:r>
        <w:rPr>
          <w:rFonts w:hint="eastAsia"/>
          <w:sz w:val="24"/>
        </w:rPr>
        <w:t>（此面为封面）</w:t>
      </w:r>
    </w:p>
    <w:p>
      <w:pPr>
        <w:spacing w:line="600" w:lineRule="exact"/>
        <w:jc w:val="center"/>
        <w:rPr>
          <w:rFonts w:hint="eastAsia" w:eastAsia="方正小标宋_GBK"/>
          <w:sz w:val="36"/>
          <w:szCs w:val="36"/>
        </w:rPr>
      </w:pPr>
    </w:p>
    <w:p>
      <w:pPr>
        <w:spacing w:line="600" w:lineRule="exact"/>
        <w:jc w:val="center"/>
        <w:rPr>
          <w:rFonts w:hint="eastAsia" w:eastAsia="方正小标宋_GBK"/>
          <w:sz w:val="36"/>
          <w:szCs w:val="36"/>
        </w:rPr>
      </w:pPr>
    </w:p>
    <w:p>
      <w:pPr>
        <w:spacing w:line="600" w:lineRule="exact"/>
        <w:jc w:val="center"/>
        <w:rPr>
          <w:rFonts w:hint="eastAsia" w:eastAsia="方正小标宋_GBK"/>
          <w:sz w:val="36"/>
          <w:szCs w:val="36"/>
        </w:rPr>
      </w:pPr>
    </w:p>
    <w:p>
      <w:pPr>
        <w:spacing w:line="600" w:lineRule="exact"/>
        <w:jc w:val="center"/>
        <w:rPr>
          <w:rFonts w:hint="eastAsia" w:eastAsia="方正小标宋_GBK"/>
          <w:sz w:val="36"/>
          <w:szCs w:val="36"/>
        </w:rPr>
      </w:pPr>
    </w:p>
    <w:p>
      <w:pPr>
        <w:spacing w:line="600" w:lineRule="exact"/>
        <w:rPr>
          <w:rFonts w:hint="eastAsia" w:eastAsia="方正小标宋_GBK"/>
          <w:sz w:val="36"/>
          <w:szCs w:val="36"/>
        </w:rPr>
      </w:pPr>
    </w:p>
    <w:p>
      <w:pPr>
        <w:widowControl/>
        <w:spacing w:line="640" w:lineRule="exact"/>
        <w:jc w:val="center"/>
        <w:rPr>
          <w:rFonts w:hint="eastAsia" w:ascii="黑体" w:hAnsi="黑体" w:eastAsia="黑体" w:cs="黑体"/>
          <w:bCs/>
          <w:sz w:val="44"/>
        </w:rPr>
      </w:pPr>
      <w:r>
        <w:rPr>
          <w:rFonts w:hint="eastAsia" w:ascii="黑体" w:hAnsi="黑体" w:eastAsia="黑体" w:cs="黑体"/>
          <w:bCs/>
          <w:sz w:val="44"/>
        </w:rPr>
        <w:t>20</w:t>
      </w:r>
      <w:r>
        <w:rPr>
          <w:rFonts w:hint="eastAsia" w:ascii="黑体" w:hAnsi="黑体" w:eastAsia="黑体" w:cs="黑体"/>
          <w:bCs/>
          <w:sz w:val="44"/>
          <w:lang w:val="en-US" w:eastAsia="zh-CN"/>
        </w:rPr>
        <w:t>24</w:t>
      </w:r>
      <w:r>
        <w:rPr>
          <w:rFonts w:hint="eastAsia" w:ascii="黑体" w:hAnsi="黑体" w:eastAsia="黑体" w:cs="黑体"/>
          <w:bCs/>
          <w:sz w:val="44"/>
        </w:rPr>
        <w:t>年度</w:t>
      </w:r>
      <w:r>
        <w:rPr>
          <w:rFonts w:hint="eastAsia" w:ascii="黑体" w:hAnsi="黑体" w:eastAsia="黑体" w:cs="黑体"/>
          <w:bCs/>
          <w:sz w:val="44"/>
          <w:lang w:val="en-US" w:eastAsia="zh-CN"/>
        </w:rPr>
        <w:t>辰溪县小龙门乡人民政府</w:t>
      </w:r>
      <w:r>
        <w:rPr>
          <w:rFonts w:hint="eastAsia" w:ascii="黑体" w:hAnsi="黑体" w:eastAsia="黑体" w:cs="黑体"/>
          <w:bCs/>
          <w:sz w:val="44"/>
        </w:rPr>
        <w:t>部门整体支出绩效</w:t>
      </w:r>
    </w:p>
    <w:p>
      <w:pPr>
        <w:widowControl/>
        <w:spacing w:line="640" w:lineRule="exact"/>
        <w:jc w:val="center"/>
        <w:rPr>
          <w:rFonts w:hint="eastAsia" w:ascii="黑体" w:hAnsi="黑体" w:eastAsia="黑体" w:cs="黑体"/>
          <w:bCs/>
          <w:sz w:val="44"/>
        </w:rPr>
      </w:pPr>
      <w:r>
        <w:rPr>
          <w:rFonts w:hint="eastAsia" w:ascii="黑体" w:hAnsi="黑体" w:eastAsia="黑体" w:cs="黑体"/>
          <w:bCs/>
          <w:sz w:val="44"/>
        </w:rPr>
        <w:t>自评报告</w:t>
      </w:r>
    </w:p>
    <w:p>
      <w:pPr>
        <w:spacing w:line="600" w:lineRule="exact"/>
        <w:jc w:val="center"/>
        <w:rPr>
          <w:rFonts w:eastAsia="楷体_GB2312"/>
          <w:sz w:val="32"/>
          <w:szCs w:val="32"/>
        </w:rPr>
      </w:pPr>
    </w:p>
    <w:p>
      <w:pPr>
        <w:spacing w:line="600" w:lineRule="exact"/>
        <w:jc w:val="center"/>
        <w:rPr>
          <w:rFonts w:eastAsia="方正小标宋_GBK"/>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textAlignment w:val="bottom"/>
        <w:rPr>
          <w:rFonts w:hint="eastAsia" w:ascii="仿宋" w:hAnsi="仿宋" w:eastAsia="仿宋" w:cs="仿宋"/>
          <w:kern w:val="0"/>
          <w:sz w:val="30"/>
          <w:szCs w:val="30"/>
          <w:lang w:val="en-US" w:eastAsia="zh-CN"/>
        </w:rPr>
      </w:pPr>
      <w:r>
        <w:rPr>
          <w:rFonts w:hint="eastAsia" w:ascii="仿宋" w:hAnsi="仿宋" w:eastAsia="仿宋" w:cs="仿宋"/>
          <w:kern w:val="0"/>
          <w:sz w:val="30"/>
          <w:szCs w:val="30"/>
        </w:rPr>
        <w:t>（一）</w:t>
      </w:r>
      <w:r>
        <w:rPr>
          <w:rFonts w:hint="eastAsia" w:ascii="仿宋" w:hAnsi="仿宋" w:eastAsia="仿宋" w:cs="仿宋"/>
          <w:b w:val="0"/>
          <w:bCs w:val="0"/>
          <w:kern w:val="0"/>
          <w:sz w:val="30"/>
          <w:szCs w:val="30"/>
        </w:rPr>
        <w:t>机构设置</w:t>
      </w:r>
      <w:r>
        <w:rPr>
          <w:rFonts w:hint="eastAsia" w:ascii="仿宋" w:hAnsi="仿宋" w:eastAsia="仿宋" w:cs="仿宋"/>
          <w:b w:val="0"/>
          <w:bCs w:val="0"/>
          <w:kern w:val="0"/>
          <w:sz w:val="30"/>
          <w:szCs w:val="30"/>
          <w:lang w:eastAsia="zh-CN"/>
        </w:rPr>
        <w:t>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textAlignment w:val="bottom"/>
        <w:rPr>
          <w:rFonts w:hint="eastAsia" w:ascii="仿宋" w:hAnsi="仿宋" w:eastAsia="仿宋" w:cs="仿宋"/>
          <w:kern w:val="0"/>
          <w:sz w:val="30"/>
          <w:szCs w:val="30"/>
        </w:rPr>
      </w:pPr>
      <w:r>
        <w:rPr>
          <w:rFonts w:hint="eastAsia" w:ascii="仿宋" w:hAnsi="仿宋" w:eastAsia="仿宋" w:cs="仿宋"/>
          <w:kern w:val="0"/>
          <w:sz w:val="30"/>
          <w:szCs w:val="30"/>
        </w:rPr>
        <w:t>机构设置情况：</w:t>
      </w:r>
      <w:r>
        <w:rPr>
          <w:rFonts w:hint="eastAsia" w:ascii="仿宋" w:hAnsi="仿宋" w:eastAsia="仿宋" w:cs="仿宋"/>
          <w:kern w:val="0"/>
          <w:sz w:val="30"/>
          <w:szCs w:val="30"/>
          <w:lang w:eastAsia="zh-CN"/>
        </w:rPr>
        <w:t>小龙门</w:t>
      </w:r>
      <w:r>
        <w:rPr>
          <w:rFonts w:hint="eastAsia" w:ascii="仿宋" w:hAnsi="仿宋" w:eastAsia="仿宋" w:cs="仿宋"/>
          <w:kern w:val="0"/>
          <w:sz w:val="30"/>
          <w:szCs w:val="30"/>
        </w:rPr>
        <w:t>乡人民政府属全额行政机关，是一级部门预算单位，根据编制部门机构改革批复方案，内设党政办公室、党建办公室、经济发展办公室、社会事务办公室、社会治安和应急管理办公室、自然资源和生态环境办公室、社会事务综合服务中心、农业综合服务中心、便民服务中心、综合行政执法大队、财政所。</w:t>
      </w:r>
    </w:p>
    <w:p>
      <w:pPr>
        <w:pStyle w:val="7"/>
        <w:keepNext w:val="0"/>
        <w:keepLines w:val="0"/>
        <w:pageBreakBefore w:val="0"/>
        <w:widowControl/>
        <w:numPr>
          <w:ilvl w:val="0"/>
          <w:numId w:val="0"/>
        </w:numPr>
        <w:kinsoku/>
        <w:wordWrap/>
        <w:overflowPunct/>
        <w:topLinePunct w:val="0"/>
        <w:autoSpaceDE/>
        <w:autoSpaceDN/>
        <w:bidi w:val="0"/>
        <w:adjustRightInd/>
        <w:snapToGrid/>
        <w:spacing w:line="600" w:lineRule="exact"/>
        <w:ind w:leftChars="0"/>
        <w:textAlignment w:val="bottom"/>
        <w:rPr>
          <w:rFonts w:hint="eastAsia" w:ascii="仿宋" w:hAnsi="仿宋" w:eastAsia="仿宋" w:cs="仿宋"/>
          <w:kern w:val="0"/>
          <w:sz w:val="30"/>
          <w:szCs w:val="30"/>
          <w:lang w:val="en-US" w:eastAsia="zh-CN"/>
        </w:rPr>
      </w:pPr>
      <w:r>
        <w:rPr>
          <w:rFonts w:hint="eastAsia" w:ascii="仿宋" w:hAnsi="仿宋" w:eastAsia="仿宋" w:cs="仿宋"/>
          <w:kern w:val="0"/>
          <w:sz w:val="30"/>
          <w:szCs w:val="30"/>
        </w:rPr>
        <w:t>（</w:t>
      </w:r>
      <w:r>
        <w:rPr>
          <w:rFonts w:hint="eastAsia" w:ascii="仿宋" w:hAnsi="仿宋" w:eastAsia="仿宋" w:cs="仿宋"/>
          <w:kern w:val="0"/>
          <w:sz w:val="30"/>
          <w:szCs w:val="30"/>
          <w:lang w:eastAsia="zh-CN"/>
        </w:rPr>
        <w:t>二</w:t>
      </w:r>
      <w:r>
        <w:rPr>
          <w:rFonts w:hint="eastAsia" w:ascii="仿宋" w:hAnsi="仿宋" w:eastAsia="仿宋" w:cs="仿宋"/>
          <w:kern w:val="0"/>
          <w:sz w:val="30"/>
          <w:szCs w:val="30"/>
        </w:rPr>
        <w:t>）</w:t>
      </w:r>
      <w:r>
        <w:rPr>
          <w:rFonts w:hint="default" w:ascii="楷体_GB2312" w:eastAsia="楷体_GB2312" w:cs="楷体_GB2312"/>
          <w:i w:val="0"/>
          <w:iCs w:val="0"/>
          <w:caps w:val="0"/>
          <w:color w:val="000000"/>
          <w:spacing w:val="0"/>
          <w:sz w:val="32"/>
          <w:szCs w:val="32"/>
          <w:shd w:val="clear" w:fill="FFFFFF"/>
        </w:rPr>
        <w:t>人员编制情况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atLeast"/>
        <w:ind w:firstLine="600" w:firstLineChars="200"/>
        <w:textAlignment w:val="auto"/>
        <w:rPr>
          <w:rFonts w:hint="eastAsia" w:ascii="仿宋" w:hAnsi="仿宋" w:eastAsia="仿宋" w:cs="仿宋"/>
          <w:b/>
          <w:bCs/>
          <w:kern w:val="0"/>
          <w:sz w:val="30"/>
          <w:szCs w:val="30"/>
        </w:rPr>
      </w:pPr>
      <w:r>
        <w:rPr>
          <w:rFonts w:hint="eastAsia" w:ascii="仿宋" w:hAnsi="仿宋" w:eastAsia="仿宋" w:cs="仿宋"/>
          <w:kern w:val="0"/>
          <w:sz w:val="30"/>
          <w:szCs w:val="30"/>
          <w:lang w:val="en-US" w:eastAsia="zh-CN" w:bidi="ar-SA"/>
        </w:rPr>
        <w:t>人员情况：截至2024年底，小龙门乡人民政府核定人员编制48人，行政编制22人，事业编制26人；实际在编45人（行政编制21人，事业编制24人），财政实际供给45人。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（三）主要职能职责</w:t>
      </w:r>
    </w:p>
    <w:p>
      <w:pPr>
        <w:pStyle w:val="7"/>
        <w:keepNext w:val="0"/>
        <w:keepLines w:val="0"/>
        <w:pageBreakBefore w:val="0"/>
        <w:widowControl/>
        <w:numPr>
          <w:ilvl w:val="0"/>
          <w:numId w:val="0"/>
        </w:numPr>
        <w:kinsoku/>
        <w:wordWrap/>
        <w:overflowPunct/>
        <w:topLinePunct w:val="0"/>
        <w:autoSpaceDE/>
        <w:autoSpaceDN/>
        <w:bidi w:val="0"/>
        <w:adjustRightInd/>
        <w:snapToGrid/>
        <w:spacing w:line="600" w:lineRule="exact"/>
        <w:ind w:firstLine="600" w:firstLineChars="200"/>
        <w:textAlignment w:val="bottom"/>
        <w:rPr>
          <w:rFonts w:hint="eastAsia" w:ascii="仿宋" w:hAnsi="仿宋" w:eastAsia="仿宋" w:cs="仿宋"/>
          <w:kern w:val="0"/>
          <w:sz w:val="30"/>
          <w:szCs w:val="30"/>
        </w:rPr>
      </w:pPr>
      <w:r>
        <w:rPr>
          <w:rFonts w:hint="eastAsia" w:ascii="仿宋" w:hAnsi="仿宋" w:eastAsia="仿宋" w:cs="仿宋"/>
          <w:kern w:val="0"/>
          <w:sz w:val="30"/>
          <w:szCs w:val="30"/>
        </w:rPr>
        <w:t>辰溪县</w:t>
      </w:r>
      <w:r>
        <w:rPr>
          <w:rFonts w:hint="eastAsia" w:ascii="仿宋" w:hAnsi="仿宋" w:eastAsia="仿宋" w:cs="仿宋"/>
          <w:kern w:val="0"/>
          <w:sz w:val="30"/>
          <w:szCs w:val="30"/>
          <w:lang w:eastAsia="zh-CN"/>
        </w:rPr>
        <w:t>小龙门</w:t>
      </w:r>
      <w:r>
        <w:rPr>
          <w:rFonts w:hint="eastAsia" w:ascii="仿宋" w:hAnsi="仿宋" w:eastAsia="仿宋" w:cs="仿宋"/>
          <w:kern w:val="0"/>
          <w:sz w:val="30"/>
          <w:szCs w:val="30"/>
        </w:rPr>
        <w:t>乡人民政府基本职能：承担促进经济发展、搞好公共服务、加强社会管理、维护社会稳定等综合职能。具体职能如下：1、认真贯彻国家的方针政策、法律、法规，严格遵循财经纪律和各项规章制度。2、执行本级人民代表大会的决议和上级国家行政机关的决定和命令。3、执行本行政区域内的经济和社会发展计划、预算，管理本行政区域内的经济、教育、科学、文化、卫健、体育事业和财政、民政、司法行政等行政工作。4、保护社会主义的全民所有的财产和劳动群众集体所有的财产，保护公民私人所有的合法财产，维护社会秩序，保障公民的人身权利、民主权利和其他权利。5、保护各种经济组织的合法权益。6、办理上级人民政府交办的其他事项。</w:t>
      </w:r>
    </w:p>
    <w:p>
      <w:pPr>
        <w:numPr>
          <w:ilvl w:val="0"/>
          <w:numId w:val="0"/>
        </w:numPr>
        <w:adjustRightInd w:val="0"/>
        <w:snapToGrid w:val="0"/>
        <w:spacing w:line="540" w:lineRule="atLeast"/>
        <w:rPr>
          <w:rFonts w:hint="eastAsia" w:ascii="仿宋" w:hAnsi="仿宋" w:eastAsia="仿宋" w:cs="仿宋"/>
          <w:b/>
          <w:bCs/>
          <w:kern w:val="0"/>
          <w:sz w:val="30"/>
          <w:szCs w:val="30"/>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四</w:t>
      </w:r>
      <w:r>
        <w:rPr>
          <w:rFonts w:hint="eastAsia" w:ascii="仿宋" w:hAnsi="仿宋" w:eastAsia="仿宋" w:cs="仿宋"/>
          <w:kern w:val="0"/>
          <w:sz w:val="30"/>
          <w:szCs w:val="30"/>
        </w:rPr>
        <w:t>）</w:t>
      </w:r>
      <w:r>
        <w:rPr>
          <w:rFonts w:hint="default" w:ascii="楷体_GB2312" w:eastAsia="楷体_GB2312" w:cs="楷体_GB2312"/>
          <w:i w:val="0"/>
          <w:iCs w:val="0"/>
          <w:caps w:val="0"/>
          <w:color w:val="000000"/>
          <w:spacing w:val="0"/>
          <w:sz w:val="32"/>
          <w:szCs w:val="32"/>
          <w:shd w:val="clear" w:fill="FFFFFF"/>
        </w:rPr>
        <w:t>绩效目标设定情况</w:t>
      </w:r>
    </w:p>
    <w:p>
      <w:pPr>
        <w:keepNext w:val="0"/>
        <w:keepLines w:val="0"/>
        <w:pageBreakBefore w:val="0"/>
        <w:widowControl w:val="0"/>
        <w:kinsoku/>
        <w:wordWrap/>
        <w:overflowPunct/>
        <w:topLinePunct w:val="0"/>
        <w:autoSpaceDE/>
        <w:autoSpaceDN/>
        <w:bidi w:val="0"/>
        <w:adjustRightInd w:val="0"/>
        <w:snapToGrid w:val="0"/>
        <w:spacing w:line="540" w:lineRule="atLeast"/>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总体工作任务为执行乡人民代表大会的决议和上级国家行政机关的决定和命令；发展和管理本辖区的经济、教育、科学、文化、卫生、体育事业和财政、民政、公安、司法行政、生育健康等行政工作；维护社会秩序，确保社会稳定，保障公民的人身权利、民主权利和其他权利。重点工作任务为做好防灾减灾、优抚安置、低保、扶贫救济等社会救助工作；开展乡村振兴工作；乡村人居环境整治工作等。1、保证政府日常开支正常运行，组织经济运行，促进经济发展。2、乡村振兴建设和巩固脱贫攻坚成果。3、保障村级财务良性运转，制定不组织实施村镇建设。4、保障社会治安，做好维稳工作。</w:t>
      </w:r>
    </w:p>
    <w:p>
      <w:pPr>
        <w:pStyle w:val="7"/>
        <w:widowControl/>
        <w:spacing w:line="600" w:lineRule="exact"/>
        <w:ind w:left="0" w:leftChars="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hint="eastAsia" w:ascii="黑体" w:hAnsi="黑体" w:eastAsia="黑体" w:cs="黑体"/>
          <w:i w:val="0"/>
          <w:iCs w:val="0"/>
          <w:caps w:val="0"/>
          <w:color w:val="000000"/>
          <w:spacing w:val="0"/>
          <w:kern w:val="0"/>
          <w:sz w:val="32"/>
          <w:szCs w:val="32"/>
          <w:shd w:val="clear" w:fill="FFFFFF"/>
          <w:lang w:val="en-US" w:eastAsia="zh-CN" w:bidi="ar"/>
        </w:rPr>
        <w:t>部门整体支出管理及使用情况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outlineLvl w:val="9"/>
        <w:rPr>
          <w:rFonts w:hint="eastAsia" w:ascii="仿宋" w:hAnsi="仿宋" w:eastAsia="仿宋" w:cs="仿宋"/>
          <w:kern w:val="0"/>
          <w:sz w:val="30"/>
          <w:szCs w:val="30"/>
          <w:lang w:val="en-US" w:eastAsia="zh-CN" w:bidi="ar-SA"/>
        </w:rPr>
      </w:pPr>
      <w:r>
        <w:rPr>
          <w:rFonts w:hint="default" w:ascii="仿宋" w:hAnsi="仿宋" w:eastAsia="仿宋" w:cs="仿宋"/>
          <w:kern w:val="0"/>
          <w:sz w:val="30"/>
          <w:szCs w:val="30"/>
          <w:lang w:val="en-US" w:eastAsia="zh-CN" w:bidi="ar-SA"/>
        </w:rPr>
        <w:t>（一）</w:t>
      </w:r>
      <w:r>
        <w:rPr>
          <w:rFonts w:hint="eastAsia" w:ascii="仿宋" w:hAnsi="仿宋" w:eastAsia="仿宋" w:cs="仿宋"/>
          <w:kern w:val="0"/>
          <w:sz w:val="30"/>
          <w:szCs w:val="30"/>
          <w:lang w:val="en-US" w:eastAsia="zh-CN" w:bidi="ar-SA"/>
        </w:rPr>
        <w:t>预算执行、使用、管理总体情况。在本年度，我单位对各项支出进行了严格控制和管理，在各项成本支出中，我们精打细算，合理安排，使得整体成本控制得到了有效的执行。同时，我们也对一些不必要的支出进行了调整和优化。关于资金使用的情况。我们严格按照预算计划对资金进行了使用，并且在资金使用过程中，我们也积极主动地进行了资金的调配和流转，确保了资金的合理使用和最大化的效益。在资金使用的过程中，我们也加强了对资金使用的监管和审计，确保了资金使用的透明和规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eastAsia="仿宋_GB2312" w:cs="仿宋_GB2312"/>
          <w:i w:val="0"/>
          <w:iCs w:val="0"/>
          <w:caps w:val="0"/>
          <w:color w:val="000000"/>
          <w:spacing w:val="0"/>
          <w:sz w:val="32"/>
          <w:szCs w:val="32"/>
          <w:shd w:val="clear" w:fill="FFFFFF"/>
          <w:lang w:val="en-US" w:eastAsia="zh-CN"/>
        </w:rPr>
      </w:pPr>
      <w:r>
        <w:rPr>
          <w:rFonts w:hint="default" w:ascii="仿宋_GB2312" w:eastAsia="仿宋_GB2312" w:cs="仿宋_GB2312"/>
          <w:i w:val="0"/>
          <w:iCs w:val="0"/>
          <w:caps w:val="0"/>
          <w:color w:val="000000"/>
          <w:spacing w:val="0"/>
          <w:sz w:val="32"/>
          <w:szCs w:val="32"/>
          <w:shd w:val="clear" w:fill="FFFFFF"/>
        </w:rPr>
        <w:t>1.基本支出情况</w:t>
      </w:r>
      <w:r>
        <w:rPr>
          <w:rFonts w:hint="eastAsia" w:ascii="仿宋_GB2312" w:eastAsia="仿宋_GB2312" w:cs="仿宋_GB2312"/>
          <w:i w:val="0"/>
          <w:iCs w:val="0"/>
          <w:caps w:val="0"/>
          <w:color w:val="000000"/>
          <w:spacing w:val="0"/>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i w:val="0"/>
          <w:iCs w:val="0"/>
          <w:caps w:val="0"/>
          <w:color w:val="333333"/>
          <w:spacing w:val="0"/>
          <w:kern w:val="2"/>
          <w:sz w:val="32"/>
          <w:szCs w:val="32"/>
          <w:vertAlign w:val="baseline"/>
          <w:lang w:val="en-US" w:eastAsia="zh-CN" w:bidi="ar-SA"/>
        </w:rPr>
      </w:pPr>
      <w:r>
        <w:rPr>
          <w:rFonts w:hint="eastAsia" w:ascii="仿宋" w:hAnsi="仿宋" w:eastAsia="仿宋" w:cs="仿宋"/>
          <w:i w:val="0"/>
          <w:iCs w:val="0"/>
          <w:caps w:val="0"/>
          <w:color w:val="333333"/>
          <w:spacing w:val="0"/>
          <w:kern w:val="2"/>
          <w:sz w:val="32"/>
          <w:szCs w:val="32"/>
          <w:vertAlign w:val="baseline"/>
          <w:lang w:val="en-US" w:eastAsia="zh-CN" w:bidi="ar-SA"/>
        </w:rPr>
        <w:t>本年度基支出合计995.70万元，其中工资福利支出：554.71万元，商品和服务支出 276.86万元，对个人和家庭的补助支出93.15万元，资本支出70.98万元。</w:t>
      </w:r>
    </w:p>
    <w:p>
      <w:pPr>
        <w:widowControl/>
        <w:shd w:val="clear" w:color="auto" w:fill="FFFFFF"/>
        <w:spacing w:line="600" w:lineRule="atLeast"/>
        <w:ind w:firstLine="640"/>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项目支出情况</w:t>
      </w:r>
    </w:p>
    <w:p>
      <w:pPr>
        <w:widowControl/>
        <w:shd w:val="clear" w:color="auto" w:fill="FFFFFF"/>
        <w:spacing w:line="600" w:lineRule="atLeast"/>
        <w:ind w:firstLine="640"/>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eastAsia="zh-CN"/>
        </w:rPr>
        <w:t>无项目支出情况</w:t>
      </w:r>
    </w:p>
    <w:p>
      <w:pPr>
        <w:pStyle w:val="8"/>
        <w:ind w:firstLine="800" w:firstLineChars="250"/>
        <w:rPr>
          <w:rFonts w:hint="eastAsia" w:ascii="楷体_GB2312" w:eastAsia="楷体_GB2312" w:cs="楷体_GB2312"/>
          <w:i w:val="0"/>
          <w:iCs w:val="0"/>
          <w:caps w:val="0"/>
          <w:color w:val="000000"/>
          <w:spacing w:val="0"/>
          <w:sz w:val="32"/>
          <w:szCs w:val="32"/>
          <w:lang w:val="en-US" w:eastAsia="zh-CN"/>
        </w:rPr>
      </w:pPr>
      <w:r>
        <w:rPr>
          <w:rFonts w:hint="default" w:ascii="楷体_GB2312" w:eastAsia="楷体_GB2312" w:cs="楷体_GB2312"/>
          <w:i w:val="0"/>
          <w:iCs w:val="0"/>
          <w:caps w:val="0"/>
          <w:color w:val="000000"/>
          <w:spacing w:val="0"/>
          <w:sz w:val="32"/>
          <w:szCs w:val="32"/>
          <w:shd w:val="clear" w:fill="FFFFFF"/>
        </w:rPr>
        <w:t>（三）"三公"经费使用和管理情况</w:t>
      </w: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仿宋" w:hAnsi="仿宋" w:eastAsia="仿宋" w:cs="仿宋"/>
          <w:i w:val="0"/>
          <w:iCs w:val="0"/>
          <w:caps w:val="0"/>
          <w:color w:val="333333"/>
          <w:spacing w:val="0"/>
          <w:kern w:val="2"/>
          <w:sz w:val="32"/>
          <w:szCs w:val="32"/>
          <w:vertAlign w:val="baseline"/>
          <w:lang w:val="en-US" w:eastAsia="zh-CN" w:bidi="ar-SA"/>
        </w:rPr>
        <w:t>“三公”经费财政拨款支出预算为13万元，支出决算为12.6393万元，完成预算的97%，其中：因公出国（境）费支出预算为 0  万元，支出决算为  0万元，完成预算的 0  %。公务接待费支出预算为10万元，支出决算为9.6393万元，完成预算的 96%，公务</w:t>
      </w:r>
      <w:r>
        <w:rPr>
          <w:rFonts w:hint="eastAsia" w:ascii="仿宋" w:hAnsi="仿宋" w:eastAsia="仿宋" w:cs="仿宋"/>
          <w:color w:val="auto"/>
          <w:sz w:val="32"/>
          <w:szCs w:val="32"/>
        </w:rPr>
        <w:t>用车购置费及运行维护费支出预算为</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万元，完成预算的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本单位有</w:t>
      </w:r>
      <w:r>
        <w:rPr>
          <w:rFonts w:hint="eastAsia" w:ascii="仿宋" w:hAnsi="仿宋" w:eastAsia="仿宋" w:cs="仿宋"/>
          <w:color w:val="auto"/>
          <w:sz w:val="32"/>
          <w:szCs w:val="32"/>
          <w:lang w:val="en-US" w:eastAsia="zh-CN"/>
        </w:rPr>
        <w:t>1台</w:t>
      </w:r>
      <w:r>
        <w:rPr>
          <w:rFonts w:hint="eastAsia" w:ascii="仿宋" w:hAnsi="仿宋" w:eastAsia="仿宋" w:cs="仿宋"/>
          <w:color w:val="auto"/>
          <w:sz w:val="32"/>
          <w:szCs w:val="32"/>
          <w:lang w:eastAsia="zh-CN"/>
        </w:rPr>
        <w:t>公车。</w:t>
      </w:r>
    </w:p>
    <w:p>
      <w:pPr>
        <w:pStyle w:val="7"/>
        <w:widowControl/>
        <w:spacing w:line="600" w:lineRule="exact"/>
        <w:ind w:left="0" w:leftChars="0" w:firstLine="0" w:firstLineChars="0"/>
        <w:rPr>
          <w:rFonts w:hint="eastAsia" w:ascii="Times New Roman" w:hAnsi="Times New Roman" w:eastAsia="黑体"/>
          <w:sz w:val="32"/>
          <w:szCs w:val="32"/>
        </w:rPr>
      </w:pPr>
      <w:r>
        <w:rPr>
          <w:rFonts w:hint="eastAsia" w:ascii="Times New Roman" w:hAnsi="Times New Roman" w:eastAsia="黑体"/>
          <w:sz w:val="32"/>
          <w:szCs w:val="32"/>
        </w:rPr>
        <w:t>三、政府性基金项目支出情况</w:t>
      </w:r>
    </w:p>
    <w:p>
      <w:pPr>
        <w:keepNext w:val="0"/>
        <w:keepLines w:val="0"/>
        <w:pageBreakBefore w:val="0"/>
        <w:widowControl w:val="0"/>
        <w:kinsoku/>
        <w:wordWrap/>
        <w:overflowPunct/>
        <w:topLinePunct w:val="0"/>
        <w:autoSpaceDE/>
        <w:autoSpaceDN/>
        <w:bidi w:val="0"/>
        <w:adjustRightInd w:val="0"/>
        <w:snapToGrid w:val="0"/>
        <w:spacing w:line="540" w:lineRule="atLeast"/>
        <w:ind w:firstLine="600" w:firstLineChars="200"/>
        <w:textAlignment w:val="auto"/>
        <w:rPr>
          <w:rFonts w:hint="default" w:ascii="Times New Roman" w:hAnsi="Times New Roman" w:eastAsia="黑体"/>
          <w:sz w:val="32"/>
          <w:szCs w:val="32"/>
          <w:lang w:val="en-US" w:eastAsia="zh-CN"/>
        </w:rPr>
      </w:pPr>
      <w:r>
        <w:rPr>
          <w:rFonts w:hint="eastAsia" w:ascii="仿宋" w:hAnsi="仿宋" w:eastAsia="仿宋" w:cs="仿宋"/>
          <w:kern w:val="0"/>
          <w:sz w:val="30"/>
          <w:szCs w:val="30"/>
          <w:lang w:val="en-US" w:eastAsia="zh-CN" w:bidi="ar-SA"/>
        </w:rPr>
        <w:t>本单位无政府性基金项目支出</w:t>
      </w:r>
    </w:p>
    <w:p>
      <w:pPr>
        <w:pStyle w:val="7"/>
        <w:widowControl/>
        <w:spacing w:line="600" w:lineRule="exact"/>
        <w:ind w:left="0" w:leftChars="0" w:firstLine="0" w:firstLineChars="0"/>
        <w:rPr>
          <w:rFonts w:hint="eastAsia" w:ascii="Times New Roman" w:hAnsi="Times New Roman" w:eastAsia="黑体"/>
          <w:sz w:val="32"/>
          <w:szCs w:val="32"/>
        </w:rPr>
      </w:pPr>
      <w:r>
        <w:rPr>
          <w:rFonts w:hint="eastAsia" w:ascii="Times New Roman" w:hAnsi="Times New Roman" w:eastAsia="黑体"/>
          <w:sz w:val="32"/>
          <w:szCs w:val="32"/>
          <w:lang w:val="en-US" w:eastAsia="zh-CN"/>
        </w:rPr>
        <w:t>四、</w:t>
      </w:r>
      <w:r>
        <w:rPr>
          <w:rFonts w:hint="eastAsia" w:ascii="Times New Roman" w:hAnsi="Times New Roman" w:eastAsia="黑体"/>
          <w:sz w:val="32"/>
          <w:szCs w:val="32"/>
        </w:rPr>
        <w:t>国有资本经营项目支出情况</w:t>
      </w:r>
    </w:p>
    <w:p>
      <w:pPr>
        <w:keepNext w:val="0"/>
        <w:keepLines w:val="0"/>
        <w:pageBreakBefore w:val="0"/>
        <w:widowControl w:val="0"/>
        <w:kinsoku/>
        <w:wordWrap/>
        <w:overflowPunct/>
        <w:topLinePunct w:val="0"/>
        <w:autoSpaceDE/>
        <w:autoSpaceDN/>
        <w:bidi w:val="0"/>
        <w:adjustRightInd w:val="0"/>
        <w:snapToGrid w:val="0"/>
        <w:spacing w:line="540" w:lineRule="atLeast"/>
        <w:ind w:firstLine="600" w:firstLineChars="200"/>
        <w:textAlignment w:val="auto"/>
        <w:rPr>
          <w:rFonts w:hint="eastAsia" w:ascii="Times New Roman" w:hAnsi="Times New Roman" w:eastAsia="黑体"/>
          <w:sz w:val="32"/>
          <w:szCs w:val="32"/>
        </w:rPr>
      </w:pPr>
      <w:r>
        <w:rPr>
          <w:rFonts w:hint="eastAsia" w:ascii="仿宋" w:hAnsi="仿宋" w:eastAsia="仿宋" w:cs="仿宋"/>
          <w:kern w:val="0"/>
          <w:sz w:val="30"/>
          <w:szCs w:val="30"/>
          <w:lang w:val="en-US" w:eastAsia="zh-CN" w:bidi="ar-SA"/>
        </w:rPr>
        <w:t>本单位无国有资本经营项目支出</w:t>
      </w:r>
    </w:p>
    <w:p>
      <w:pPr>
        <w:pStyle w:val="7"/>
        <w:widowControl/>
        <w:numPr>
          <w:ilvl w:val="0"/>
          <w:numId w:val="1"/>
        </w:numPr>
        <w:spacing w:line="600" w:lineRule="exact"/>
        <w:ind w:left="0" w:leftChars="0" w:firstLine="0" w:firstLineChars="0"/>
        <w:rPr>
          <w:rFonts w:hint="eastAsia" w:ascii="Times New Roman" w:hAnsi="Times New Roman" w:eastAsia="黑体"/>
          <w:sz w:val="32"/>
          <w:szCs w:val="32"/>
        </w:rPr>
      </w:pPr>
      <w:r>
        <w:rPr>
          <w:rFonts w:hint="eastAsia" w:ascii="Times New Roman" w:hAnsi="Times New Roman" w:eastAsia="黑体"/>
          <w:sz w:val="32"/>
          <w:szCs w:val="32"/>
        </w:rPr>
        <w:t>社会保险基金项目支出情况</w:t>
      </w:r>
    </w:p>
    <w:p>
      <w:pPr>
        <w:pStyle w:val="7"/>
        <w:widowControl/>
        <w:numPr>
          <w:ilvl w:val="0"/>
          <w:numId w:val="0"/>
        </w:numPr>
        <w:spacing w:line="600" w:lineRule="exact"/>
        <w:ind w:leftChars="0" w:firstLine="600" w:firstLineChars="200"/>
        <w:rPr>
          <w:rFonts w:hint="default"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本单位无社会保险基金项目支出</w:t>
      </w:r>
    </w:p>
    <w:p>
      <w:pPr>
        <w:pStyle w:val="7"/>
        <w:widowControl/>
        <w:spacing w:line="600" w:lineRule="exact"/>
        <w:ind w:left="0" w:leftChars="0" w:firstLine="0" w:firstLineChars="0"/>
        <w:rPr>
          <w:rFonts w:hint="eastAsia" w:ascii="Times New Roman" w:hAnsi="Times New Roman" w:eastAsia="黑体"/>
          <w:sz w:val="32"/>
          <w:szCs w:val="32"/>
        </w:rPr>
      </w:pPr>
      <w:r>
        <w:rPr>
          <w:rFonts w:hint="eastAsia" w:ascii="Times New Roman" w:hAnsi="Times New Roman" w:eastAsia="黑体"/>
          <w:sz w:val="32"/>
          <w:szCs w:val="32"/>
        </w:rPr>
        <w:t>六、部门整体支出绩效情况</w:t>
      </w:r>
    </w:p>
    <w:p>
      <w:pPr>
        <w:adjustRightInd w:val="0"/>
        <w:snapToGrid w:val="0"/>
        <w:spacing w:line="540" w:lineRule="atLeast"/>
        <w:ind w:firstLine="600" w:firstLineChars="200"/>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（一）绩效评价实施过程情况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atLeast"/>
        <w:ind w:leftChars="0" w:firstLine="600" w:firstLineChars="200"/>
        <w:textAlignment w:val="auto"/>
        <w:rPr>
          <w:rFonts w:hint="default"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采用“4E”评价法及平衡记分法，从经济性、效率性、效益性、公平性、群众满意度进行政府绩效评价。通过对比年末预决算数据来评估经济性、效益性、公平性，在日常工作中收集群众反馈问题及投诉来评估群众满意度，更加全面、细致的完成部门整体评价。</w:t>
      </w:r>
    </w:p>
    <w:p>
      <w:pPr>
        <w:adjustRightInd w:val="0"/>
        <w:snapToGrid w:val="0"/>
        <w:spacing w:line="540" w:lineRule="atLeast"/>
        <w:ind w:firstLine="600" w:firstLineChars="200"/>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（二）绩效评价整体结果概况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atLeast"/>
        <w:ind w:leftChars="0" w:firstLine="600" w:firstLineChars="200"/>
        <w:textAlignment w:val="auto"/>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2024年初预算数为596.24万元。其中，一般公共预算拨款596.24万元。2024年决算数995.70万元，执行率为100%。三公经费13万元，执行率97%，控制了三公经费的开支。</w:t>
      </w:r>
    </w:p>
    <w:p>
      <w:pPr>
        <w:adjustRightInd w:val="0"/>
        <w:snapToGrid w:val="0"/>
        <w:spacing w:line="540" w:lineRule="atLeast"/>
        <w:ind w:firstLine="600" w:firstLineChars="200"/>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（三）投入情况分析，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atLeast"/>
        <w:ind w:leftChars="0" w:firstLine="600" w:firstLineChars="200"/>
        <w:textAlignment w:val="auto"/>
        <w:rPr>
          <w:rFonts w:hint="default"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按时完成2024年预算编制及公开，全年目标有1：贯彻执行规划建设，基础设施建设，稳定和完善农村基本经营管理全面实施下政府各项决策部署，确保各项工作目标任务圆满完成。2 ：计划完成公务车辆运行费支出预算金额的100%。3：计划完成公务接待支出预算金额的100% 。4：计划完成基本支出预算金额的100%。所有目标均根据往年部门整体绩效及政府日常工作设立。</w:t>
      </w:r>
    </w:p>
    <w:p>
      <w:pPr>
        <w:adjustRightInd w:val="0"/>
        <w:snapToGrid w:val="0"/>
        <w:spacing w:line="540" w:lineRule="atLeast"/>
        <w:ind w:firstLine="600" w:firstLineChars="200"/>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（四）执行管理情况分析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atLeast"/>
        <w:ind w:leftChars="0" w:firstLine="600" w:firstLineChars="200"/>
        <w:textAlignment w:val="auto"/>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2024年决算支出为995.70万元，执行率为100%。2024年决算数较2023年有所下降，主要控制了各项开支。</w:t>
      </w:r>
    </w:p>
    <w:p>
      <w:pPr>
        <w:adjustRightInd w:val="0"/>
        <w:snapToGrid w:val="0"/>
        <w:spacing w:line="540" w:lineRule="atLeast"/>
        <w:ind w:firstLine="600" w:firstLineChars="200"/>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（三）支出绩效情况分析</w:t>
      </w:r>
    </w:p>
    <w:p>
      <w:pPr>
        <w:keepNext w:val="0"/>
        <w:keepLines w:val="0"/>
        <w:pageBreakBefore w:val="0"/>
        <w:widowControl/>
        <w:kinsoku/>
        <w:wordWrap/>
        <w:overflowPunct/>
        <w:topLinePunct w:val="0"/>
        <w:autoSpaceDE/>
        <w:autoSpaceDN/>
        <w:bidi w:val="0"/>
        <w:adjustRightInd/>
        <w:snapToGrid/>
        <w:spacing w:line="600" w:lineRule="exact"/>
        <w:ind w:firstLine="600" w:firstLineChars="200"/>
        <w:jc w:val="left"/>
        <w:textAlignment w:val="auto"/>
        <w:rPr>
          <w:color w:val="000000"/>
          <w:sz w:val="32"/>
          <w:szCs w:val="32"/>
        </w:rPr>
      </w:pPr>
      <w:r>
        <w:rPr>
          <w:rFonts w:hint="eastAsia" w:ascii="仿宋" w:hAnsi="仿宋" w:eastAsia="仿宋" w:cs="仿宋"/>
          <w:kern w:val="0"/>
          <w:sz w:val="30"/>
          <w:szCs w:val="30"/>
          <w:lang w:val="en-US" w:eastAsia="zh-CN" w:bidi="ar-SA"/>
        </w:rPr>
        <w:t>2024年决算支出为995.70万元，其中基本支出为937.53万元，其他建设项目支出58.17万元,贯彻执行规划建设，基础设施建设，稳定和完善农村基本经营管理全面实施下政府各项决策部署，确保各项工作目标任务圆满完成。</w:t>
      </w:r>
    </w:p>
    <w:p>
      <w:pPr>
        <w:pStyle w:val="7"/>
        <w:widowControl/>
        <w:numPr>
          <w:ilvl w:val="0"/>
          <w:numId w:val="2"/>
        </w:numPr>
        <w:spacing w:line="600" w:lineRule="exact"/>
        <w:ind w:left="0" w:leftChars="0" w:firstLine="0" w:firstLineChars="0"/>
        <w:rPr>
          <w:rFonts w:hint="eastAsia" w:ascii="Times New Roman" w:hAnsi="Times New Roman" w:eastAsia="黑体"/>
          <w:sz w:val="32"/>
          <w:szCs w:val="32"/>
        </w:rPr>
      </w:pPr>
      <w:r>
        <w:rPr>
          <w:rFonts w:hint="eastAsia" w:ascii="Times New Roman" w:hAnsi="Times New Roman" w:eastAsia="黑体"/>
          <w:sz w:val="32"/>
          <w:szCs w:val="32"/>
        </w:rPr>
        <w:t>存在的问题及原因分析</w:t>
      </w:r>
    </w:p>
    <w:p>
      <w:pPr>
        <w:pStyle w:val="7"/>
        <w:widowControl/>
        <w:numPr>
          <w:ilvl w:val="0"/>
          <w:numId w:val="0"/>
        </w:numPr>
        <w:spacing w:line="600" w:lineRule="exact"/>
        <w:ind w:leftChars="0" w:firstLine="600" w:firstLineChars="200"/>
        <w:rPr>
          <w:sz w:val="32"/>
          <w:szCs w:val="32"/>
        </w:rPr>
      </w:pPr>
      <w:r>
        <w:rPr>
          <w:rFonts w:hint="eastAsia" w:ascii="仿宋" w:hAnsi="仿宋" w:eastAsia="仿宋" w:cs="仿宋"/>
          <w:kern w:val="0"/>
          <w:sz w:val="30"/>
          <w:szCs w:val="30"/>
          <w:lang w:val="en-US" w:eastAsia="zh-CN"/>
        </w:rPr>
        <w:t>存在的问题：1.预算编制工作有待细化。预算编制不够明确和细化，预算编制的合理性需要提高，预算执行力度还要进一步加强；2.公用经费控制有一定难度，基本为刚性支出。</w:t>
      </w:r>
    </w:p>
    <w:p>
      <w:pPr>
        <w:pStyle w:val="7"/>
        <w:widowControl/>
        <w:numPr>
          <w:ilvl w:val="0"/>
          <w:numId w:val="2"/>
        </w:numPr>
        <w:spacing w:line="600" w:lineRule="exact"/>
        <w:ind w:left="0" w:leftChars="0" w:firstLine="0" w:firstLineChars="0"/>
        <w:rPr>
          <w:rFonts w:hint="eastAsia" w:ascii="Times New Roman" w:hAnsi="Times New Roman" w:eastAsia="黑体"/>
          <w:sz w:val="32"/>
          <w:szCs w:val="32"/>
        </w:rPr>
      </w:pPr>
      <w:r>
        <w:rPr>
          <w:rFonts w:hint="eastAsia" w:ascii="Times New Roman" w:hAnsi="Times New Roman" w:eastAsia="黑体"/>
          <w:sz w:val="32"/>
          <w:szCs w:val="32"/>
        </w:rPr>
        <w:t>下一步改进措施</w:t>
      </w:r>
    </w:p>
    <w:p>
      <w:pPr>
        <w:numPr>
          <w:ilvl w:val="0"/>
          <w:numId w:val="0"/>
        </w:numPr>
        <w:adjustRightInd w:val="0"/>
        <w:snapToGrid w:val="0"/>
        <w:spacing w:line="540" w:lineRule="atLeast"/>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numPr>
          <w:ilvl w:val="0"/>
          <w:numId w:val="0"/>
        </w:numPr>
        <w:adjustRightInd w:val="0"/>
        <w:snapToGrid w:val="0"/>
        <w:spacing w:line="540" w:lineRule="atLeast"/>
        <w:ind w:firstLine="600" w:firstLineChars="200"/>
        <w:rPr>
          <w:rFonts w:hint="eastAsia" w:ascii="Times New Roman" w:hAnsi="Times New Roman" w:eastAsia="黑体"/>
          <w:sz w:val="32"/>
          <w:szCs w:val="32"/>
        </w:rPr>
      </w:pPr>
      <w:r>
        <w:rPr>
          <w:rFonts w:hint="eastAsia" w:ascii="仿宋" w:hAnsi="仿宋" w:eastAsia="仿宋" w:cs="仿宋"/>
          <w:kern w:val="0"/>
          <w:sz w:val="30"/>
          <w:szCs w:val="30"/>
          <w:lang w:val="en-US" w:eastAsia="zh-CN"/>
        </w:rPr>
        <w:t>2. 加强财务管理，严格财务审核。加强单位财务管理，健全单位财务管理制度体系，规范单位财务行为。在费用报账支付时，按照预算规定的费用项目和用途进行资金使用审核、列报支付、财务核算，杜绝超支现象的发生。</w:t>
      </w:r>
    </w:p>
    <w:p>
      <w:pPr>
        <w:widowControl/>
        <w:spacing w:line="600" w:lineRule="exact"/>
        <w:jc w:val="left"/>
        <w:rPr>
          <w:rFonts w:hint="default" w:ascii="仿宋" w:hAnsi="仿宋" w:eastAsia="仿宋" w:cs="仿宋"/>
          <w:kern w:val="0"/>
          <w:sz w:val="30"/>
          <w:szCs w:val="30"/>
          <w:lang w:val="en-US" w:eastAsia="zh-CN" w:bidi="ar-SA"/>
        </w:rPr>
      </w:pPr>
      <w:r>
        <w:rPr>
          <w:rFonts w:hint="eastAsia" w:ascii="Times New Roman" w:hAnsi="Times New Roman" w:eastAsia="黑体"/>
          <w:sz w:val="32"/>
          <w:szCs w:val="32"/>
        </w:rPr>
        <w:t>九、</w:t>
      </w:r>
      <w:r>
        <w:rPr>
          <w:rFonts w:hint="eastAsia" w:eastAsia="黑体"/>
          <w:sz w:val="32"/>
          <w:szCs w:val="32"/>
        </w:rPr>
        <w:t>其他需要说明的情况</w:t>
      </w:r>
    </w:p>
    <w:p>
      <w:pPr>
        <w:widowControl/>
        <w:spacing w:line="600" w:lineRule="exact"/>
        <w:ind w:firstLine="645"/>
        <w:jc w:val="left"/>
        <w:rPr>
          <w:rFonts w:hint="eastAsia" w:eastAsia="仿宋_GB2312"/>
          <w:sz w:val="32"/>
          <w:szCs w:val="32"/>
          <w:lang w:eastAsia="zh-CN"/>
        </w:rPr>
      </w:pPr>
      <w:r>
        <w:rPr>
          <w:rFonts w:hint="eastAsia"/>
          <w:sz w:val="32"/>
          <w:szCs w:val="32"/>
          <w:lang w:eastAsia="zh-CN"/>
        </w:rPr>
        <w:t>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报告应包括以下附件：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pPr>
        <w:widowControl/>
        <w:spacing w:line="600" w:lineRule="exact"/>
        <w:ind w:firstLine="645"/>
        <w:jc w:val="left"/>
        <w:rPr>
          <w:rFonts w:hint="eastAsia"/>
          <w:sz w:val="32"/>
          <w:szCs w:val="32"/>
        </w:rPr>
      </w:pPr>
    </w:p>
    <w:p>
      <w:pPr>
        <w:numPr>
          <w:ilvl w:val="0"/>
          <w:numId w:val="0"/>
        </w:numPr>
        <w:adjustRightInd w:val="0"/>
        <w:snapToGrid w:val="0"/>
        <w:spacing w:line="540" w:lineRule="atLeast"/>
        <w:jc w:val="center"/>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                                      小龙门乡人民政府</w:t>
      </w:r>
    </w:p>
    <w:p>
      <w:pPr>
        <w:numPr>
          <w:ilvl w:val="0"/>
          <w:numId w:val="0"/>
        </w:numPr>
        <w:adjustRightInd w:val="0"/>
        <w:snapToGrid w:val="0"/>
        <w:spacing w:line="540" w:lineRule="atLeast"/>
        <w:ind w:leftChars="200" w:firstLine="600" w:firstLineChars="200"/>
        <w:rPr>
          <w:rFonts w:hint="eastAsia"/>
          <w:sz w:val="32"/>
          <w:szCs w:val="32"/>
        </w:rPr>
      </w:pPr>
      <w:r>
        <w:rPr>
          <w:rFonts w:hint="eastAsia" w:ascii="仿宋" w:hAnsi="仿宋" w:eastAsia="仿宋" w:cs="仿宋"/>
          <w:kern w:val="0"/>
          <w:sz w:val="30"/>
          <w:szCs w:val="30"/>
          <w:lang w:val="en-US" w:eastAsia="zh-CN"/>
        </w:rPr>
        <w:t xml:space="preserve">                               2025年5月14日</w:t>
      </w:r>
    </w:p>
    <w:p>
      <w:pPr>
        <w:widowControl/>
        <w:spacing w:line="600" w:lineRule="exact"/>
        <w:jc w:val="left"/>
        <w:rPr>
          <w:rFonts w:hint="eastAsia"/>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0" w:usb1="00000000" w:usb2="00000000" w:usb3="00000000" w:csb0="00000000" w:csb1="00000000"/>
  </w:font>
  <w:font w:name="楷体_GB2312">
    <w:panose1 w:val="02010609030101010101"/>
    <w:charset w:val="86"/>
    <w:family w:val="auto"/>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37CBC6"/>
    <w:multiLevelType w:val="singleLevel"/>
    <w:tmpl w:val="9437CBC6"/>
    <w:lvl w:ilvl="0" w:tentative="0">
      <w:start w:val="7"/>
      <w:numFmt w:val="chineseCounting"/>
      <w:suff w:val="nothing"/>
      <w:lvlText w:val="%1、"/>
      <w:lvlJc w:val="left"/>
      <w:rPr>
        <w:rFonts w:hint="eastAsia"/>
      </w:rPr>
    </w:lvl>
  </w:abstractNum>
  <w:abstractNum w:abstractNumId="1">
    <w:nsid w:val="E64D8D50"/>
    <w:multiLevelType w:val="singleLevel"/>
    <w:tmpl w:val="E64D8D50"/>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NTBkNGMyNTA0ODRiOGExMDYzZjJkY2UxZWQwN2IifQ=="/>
    <w:docVar w:name="KSO_WPS_MARK_KEY" w:val="ead134b7-3c97-45f9-b9d0-cb3e1799ca2b"/>
  </w:docVars>
  <w:rsids>
    <w:rsidRoot w:val="6E7B3E32"/>
    <w:rsid w:val="01FA65AD"/>
    <w:rsid w:val="02E802B8"/>
    <w:rsid w:val="07E13D6B"/>
    <w:rsid w:val="130C595E"/>
    <w:rsid w:val="1B52379F"/>
    <w:rsid w:val="1C597F1C"/>
    <w:rsid w:val="26013F59"/>
    <w:rsid w:val="36B778B0"/>
    <w:rsid w:val="4DB718CB"/>
    <w:rsid w:val="62A114D0"/>
    <w:rsid w:val="6500473E"/>
    <w:rsid w:val="6E7B3E32"/>
    <w:rsid w:val="7BFE069E"/>
    <w:rsid w:val="7CB17DD3"/>
    <w:rsid w:val="7D3C4372"/>
    <w:rsid w:val="7ECC0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99"/>
    <w:pPr>
      <w:spacing w:line="365" w:lineRule="atLeast"/>
      <w:ind w:left="1" w:firstLine="420" w:firstLineChars="200"/>
      <w:textAlignment w:val="bottom"/>
    </w:pPr>
    <w:rPr>
      <w:rFonts w:ascii="Calibri" w:hAnsi="Calibri" w:eastAsia="宋体"/>
      <w:kern w:val="0"/>
      <w:sz w:val="20"/>
      <w:szCs w:val="22"/>
    </w:rPr>
  </w:style>
  <w:style w:type="paragraph" w:customStyle="1" w:styleId="8">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1023</Words>
  <Characters>1037</Characters>
  <Lines>0</Lines>
  <Paragraphs>0</Paragraphs>
  <TotalTime>1</TotalTime>
  <ScaleCrop>false</ScaleCrop>
  <LinksUpToDate>false</LinksUpToDate>
  <CharactersWithSpaces>1051</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2024-04-12T13:52:00Z</dcterms:created>
  <dc:creator>PC</dc:creator>
  <cp:lastModifiedBy>Administrator</cp:lastModifiedBy>
  <cp:lastPrinted>2025-05-15T09:01:00Z</cp:lastPrinted>
  <dcterms:modified xsi:type="dcterms:W3CDTF">2025-05-15T01:57:17Z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E882AF75AAC049439C9624549E20A76B</vt:lpwstr>
  </property>
</Properties>
</file>