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DAE8">
      <w:pPr>
        <w:spacing w:line="600" w:lineRule="exact"/>
        <w:rPr>
          <w:rFonts w:hint="eastAsia" w:eastAsia="方正小标宋_GBK"/>
          <w:sz w:val="36"/>
          <w:szCs w:val="36"/>
        </w:rPr>
      </w:pPr>
    </w:p>
    <w:p w14:paraId="331A80DB">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val="en-US" w:eastAsia="zh-CN"/>
        </w:rPr>
        <w:t>辰溪县小龙门乡人民政府</w:t>
      </w:r>
      <w:r>
        <w:rPr>
          <w:rFonts w:hint="eastAsia" w:ascii="黑体" w:hAnsi="黑体" w:eastAsia="黑体" w:cs="黑体"/>
          <w:bCs/>
          <w:sz w:val="44"/>
        </w:rPr>
        <w:t>部门整体支出绩效</w:t>
      </w:r>
    </w:p>
    <w:p w14:paraId="22D841F6">
      <w:pPr>
        <w:widowControl/>
        <w:spacing w:line="640" w:lineRule="exact"/>
        <w:jc w:val="center"/>
        <w:rPr>
          <w:rFonts w:hint="eastAsia" w:ascii="黑体" w:hAnsi="黑体" w:eastAsia="黑体" w:cs="黑体"/>
          <w:bCs/>
          <w:sz w:val="44"/>
        </w:rPr>
      </w:pPr>
      <w:r>
        <w:rPr>
          <w:rFonts w:hint="eastAsia" w:ascii="黑体" w:hAnsi="黑体" w:eastAsia="黑体" w:cs="黑体"/>
          <w:bCs/>
          <w:sz w:val="44"/>
        </w:rPr>
        <w:t>自评报告</w:t>
      </w:r>
    </w:p>
    <w:p w14:paraId="16D9CE65">
      <w:pPr>
        <w:spacing w:line="600" w:lineRule="exact"/>
        <w:jc w:val="center"/>
        <w:rPr>
          <w:rFonts w:eastAsia="楷体_GB2312"/>
          <w:sz w:val="32"/>
          <w:szCs w:val="32"/>
        </w:rPr>
      </w:pPr>
    </w:p>
    <w:p w14:paraId="2B73B22B">
      <w:pPr>
        <w:spacing w:line="600" w:lineRule="exact"/>
        <w:jc w:val="center"/>
        <w:rPr>
          <w:rFonts w:eastAsia="方正小标宋_GBK"/>
          <w:sz w:val="32"/>
          <w:szCs w:val="32"/>
        </w:rPr>
      </w:pPr>
    </w:p>
    <w:p w14:paraId="0C0712E3">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0" w:firstLineChars="0"/>
        <w:textAlignment w:val="bottom"/>
        <w:rPr>
          <w:rFonts w:hint="eastAsia" w:ascii="仿宋" w:hAnsi="仿宋" w:eastAsia="仿宋" w:cs="仿宋"/>
          <w:kern w:val="0"/>
          <w:sz w:val="30"/>
          <w:szCs w:val="30"/>
        </w:rPr>
      </w:pPr>
      <w:r>
        <w:rPr>
          <w:rFonts w:hint="eastAsia" w:ascii="Times New Roman" w:hAnsi="Times New Roman" w:eastAsia="黑体"/>
          <w:sz w:val="32"/>
          <w:szCs w:val="32"/>
        </w:rPr>
        <w:t>部门基本情况</w:t>
      </w:r>
    </w:p>
    <w:p w14:paraId="0171C9A6">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bottom"/>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14:paraId="00DA9CCC">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辰溪县</w:t>
      </w:r>
      <w:r>
        <w:rPr>
          <w:rFonts w:hint="eastAsia" w:ascii="仿宋" w:hAnsi="仿宋" w:eastAsia="仿宋" w:cs="仿宋"/>
          <w:kern w:val="0"/>
          <w:sz w:val="30"/>
          <w:szCs w:val="30"/>
          <w:lang w:eastAsia="zh-CN"/>
        </w:rPr>
        <w:t>小龙门</w:t>
      </w:r>
      <w:r>
        <w:rPr>
          <w:rFonts w:hint="eastAsia" w:ascii="仿宋" w:hAnsi="仿宋" w:eastAsia="仿宋" w:cs="仿宋"/>
          <w:kern w:val="0"/>
          <w:sz w:val="30"/>
          <w:szCs w:val="30"/>
        </w:rPr>
        <w:t>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14:paraId="5B78E01F">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bottom"/>
        <w:rPr>
          <w:rFonts w:hint="eastAsia" w:ascii="仿宋" w:hAnsi="仿宋" w:eastAsia="仿宋" w:cs="仿宋"/>
          <w:kern w:val="0"/>
          <w:sz w:val="30"/>
          <w:szCs w:val="30"/>
        </w:rPr>
      </w:pPr>
      <w:r>
        <w:rPr>
          <w:rFonts w:hint="eastAsia" w:ascii="仿宋" w:hAnsi="仿宋" w:eastAsia="仿宋" w:cs="仿宋"/>
          <w:kern w:val="0"/>
          <w:sz w:val="30"/>
          <w:szCs w:val="30"/>
        </w:rPr>
        <w:t>机构设置情况：</w:t>
      </w:r>
      <w:r>
        <w:rPr>
          <w:rFonts w:hint="eastAsia" w:ascii="仿宋" w:hAnsi="仿宋" w:eastAsia="仿宋" w:cs="仿宋"/>
          <w:kern w:val="0"/>
          <w:sz w:val="30"/>
          <w:szCs w:val="30"/>
          <w:lang w:eastAsia="zh-CN"/>
        </w:rPr>
        <w:t>小龙门</w:t>
      </w:r>
      <w:r>
        <w:rPr>
          <w:rFonts w:hint="eastAsia" w:ascii="仿宋" w:hAnsi="仿宋" w:eastAsia="仿宋" w:cs="仿宋"/>
          <w:kern w:val="0"/>
          <w:sz w:val="30"/>
          <w:szCs w:val="30"/>
        </w:rPr>
        <w:t>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14:paraId="4BA67844">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bottom"/>
        <w:rPr>
          <w:rFonts w:hint="eastAsia" w:ascii="仿宋" w:hAnsi="仿宋" w:eastAsia="仿宋" w:cs="仿宋"/>
          <w:b/>
          <w:bCs/>
          <w:kern w:val="0"/>
          <w:sz w:val="30"/>
          <w:szCs w:val="30"/>
        </w:rPr>
      </w:pP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二</w:t>
      </w:r>
      <w:r>
        <w:rPr>
          <w:rFonts w:hint="eastAsia" w:ascii="仿宋" w:hAnsi="仿宋" w:eastAsia="仿宋" w:cs="仿宋"/>
          <w:kern w:val="0"/>
          <w:sz w:val="30"/>
          <w:szCs w:val="30"/>
        </w:rPr>
        <w:t>）</w:t>
      </w:r>
      <w:r>
        <w:rPr>
          <w:rFonts w:hint="eastAsia" w:ascii="仿宋" w:hAnsi="仿宋" w:eastAsia="仿宋" w:cs="仿宋"/>
          <w:b/>
          <w:bCs/>
          <w:kern w:val="0"/>
          <w:sz w:val="30"/>
          <w:szCs w:val="30"/>
        </w:rPr>
        <w:t>人员情况</w:t>
      </w:r>
    </w:p>
    <w:p w14:paraId="0853FE1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b/>
          <w:bCs/>
          <w:kern w:val="0"/>
          <w:sz w:val="30"/>
          <w:szCs w:val="30"/>
        </w:rPr>
      </w:pPr>
      <w:r>
        <w:rPr>
          <w:rFonts w:hint="eastAsia" w:ascii="仿宋" w:hAnsi="仿宋" w:eastAsia="仿宋" w:cs="仿宋"/>
          <w:kern w:val="0"/>
          <w:sz w:val="30"/>
          <w:szCs w:val="30"/>
          <w:lang w:val="en-US" w:eastAsia="zh-CN" w:bidi="ar-SA"/>
        </w:rPr>
        <w:t>人员情况：截至2023年底，小龙门乡人民政府核定人员编制46人，行政编制21人，事业编制25人；实际在编45人（行政编制21人，事业编制24人），财政实际供给45人。</w:t>
      </w:r>
    </w:p>
    <w:p w14:paraId="79FFAA11">
      <w:pPr>
        <w:numPr>
          <w:ilvl w:val="0"/>
          <w:numId w:val="0"/>
        </w:numPr>
        <w:adjustRightInd w:val="0"/>
        <w:snapToGrid w:val="0"/>
        <w:spacing w:line="540" w:lineRule="atLeast"/>
        <w:rPr>
          <w:rFonts w:hint="eastAsia" w:ascii="仿宋" w:hAnsi="仿宋" w:eastAsia="仿宋" w:cs="仿宋"/>
          <w:b/>
          <w:bCs/>
          <w:kern w:val="0"/>
          <w:sz w:val="30"/>
          <w:szCs w:val="30"/>
        </w:rPr>
      </w:pP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三</w:t>
      </w:r>
      <w:r>
        <w:rPr>
          <w:rFonts w:hint="eastAsia" w:ascii="仿宋" w:hAnsi="仿宋" w:eastAsia="仿宋" w:cs="仿宋"/>
          <w:kern w:val="0"/>
          <w:sz w:val="30"/>
          <w:szCs w:val="30"/>
        </w:rPr>
        <w:t>）</w:t>
      </w:r>
      <w:r>
        <w:rPr>
          <w:rFonts w:hint="eastAsia" w:ascii="仿宋" w:hAnsi="仿宋" w:eastAsia="仿宋" w:cs="仿宋"/>
          <w:b/>
          <w:bCs/>
          <w:kern w:val="0"/>
          <w:sz w:val="30"/>
          <w:szCs w:val="30"/>
        </w:rPr>
        <w:t>部门年度总体工作任务和重点工作任务</w:t>
      </w:r>
    </w:p>
    <w:p w14:paraId="6379D9A1">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总体工作任务为执行乡人民代表大会的决议和上级国家行政机关的决定和命令；发展和管理本辖区的经济、教育、科学、文化、卫生、体育事业和财政、民政、公安、司法行政、生育健康等行政工作；维护社会秩序，确保社会稳定，保障公民的人身权利、民主权利和其他权利。重点工作任务为做好防灾减灾、优抚安置、低保、扶贫救济等社会救助工作；开展乡村振兴工作；乡村人居环境整治工作等。</w:t>
      </w:r>
    </w:p>
    <w:p w14:paraId="58D51CCC">
      <w:pPr>
        <w:pStyle w:val="6"/>
        <w:widowControl/>
        <w:spacing w:line="600" w:lineRule="exact"/>
        <w:ind w:left="0" w:leftChars="0" w:firstLine="0" w:firstLineChars="0"/>
        <w:rPr>
          <w:rFonts w:ascii="Times New Roman" w:hAnsi="Times New Roman" w:eastAsia="黑体"/>
          <w:sz w:val="32"/>
          <w:szCs w:val="32"/>
        </w:rPr>
      </w:pPr>
      <w:r>
        <w:rPr>
          <w:rFonts w:hint="eastAsia" w:ascii="Times New Roman" w:hAnsi="Times New Roman" w:eastAsia="黑体"/>
          <w:sz w:val="32"/>
          <w:szCs w:val="32"/>
        </w:rPr>
        <w:t>二、一般公共项目支出情况</w:t>
      </w:r>
    </w:p>
    <w:p w14:paraId="730B234A">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en-US" w:eastAsia="zh-CN"/>
        </w:rPr>
        <w:t>2023年共取得预算收入664.92万元，其中：财政拨款收入664.92万元，占100%；上级补助收入0万元，占0%；事业收入0万元，占0%；经营收入0万元，占0%；附属单位上缴收入0万元，占0%；其他收入0万元，占0%。</w:t>
      </w:r>
      <w:r>
        <w:rPr>
          <w:rFonts w:hint="eastAsia" w:eastAsia="仿宋_GB2312"/>
          <w:color w:val="000000"/>
          <w:sz w:val="32"/>
          <w:szCs w:val="32"/>
        </w:rPr>
        <w:t>至</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lang w:val="zh-CN" w:eastAsia="zh-CN"/>
        </w:rPr>
        <w:t>年1</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eastAsia="zh-CN"/>
        </w:rPr>
        <w:t>月份实际完成财政收入</w:t>
      </w:r>
      <w:r>
        <w:rPr>
          <w:rFonts w:hint="eastAsia" w:ascii="仿宋" w:hAnsi="仿宋" w:eastAsia="仿宋" w:cs="仿宋"/>
          <w:kern w:val="0"/>
          <w:sz w:val="30"/>
          <w:szCs w:val="30"/>
          <w:lang w:val="en-US" w:eastAsia="zh-CN"/>
        </w:rPr>
        <w:t>1116.67</w:t>
      </w:r>
      <w:r>
        <w:rPr>
          <w:rFonts w:hint="eastAsia" w:ascii="仿宋" w:hAnsi="仿宋" w:eastAsia="仿宋" w:cs="仿宋"/>
          <w:kern w:val="0"/>
          <w:sz w:val="30"/>
          <w:szCs w:val="30"/>
          <w:lang w:val="zh-CN" w:eastAsia="zh-CN"/>
        </w:rPr>
        <w:t>万元。202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lang w:val="zh-CN" w:eastAsia="zh-CN"/>
        </w:rPr>
        <w:t>年各项财政收入是：财政拨款收入</w:t>
      </w:r>
      <w:r>
        <w:rPr>
          <w:rFonts w:hint="eastAsia" w:ascii="仿宋" w:hAnsi="仿宋" w:eastAsia="仿宋" w:cs="仿宋"/>
          <w:kern w:val="0"/>
          <w:sz w:val="30"/>
          <w:szCs w:val="30"/>
          <w:lang w:val="en-US" w:eastAsia="zh-CN"/>
        </w:rPr>
        <w:t>1116.67</w:t>
      </w:r>
      <w:r>
        <w:rPr>
          <w:rFonts w:hint="eastAsia" w:ascii="仿宋" w:hAnsi="仿宋" w:eastAsia="仿宋" w:cs="仿宋"/>
          <w:kern w:val="0"/>
          <w:sz w:val="30"/>
          <w:szCs w:val="30"/>
          <w:lang w:val="zh-CN" w:eastAsia="zh-CN"/>
        </w:rPr>
        <w:t>万元。</w:t>
      </w:r>
    </w:p>
    <w:p w14:paraId="4B0D8FCC">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en-US" w:eastAsia="zh-CN"/>
        </w:rPr>
        <w:t>预算支出合计664.92万元，其中：基本支出664.92万元，占100%；项目支出0万元，占0%；上缴上级支出0万元，占0 %；经营支出0万元，占0%；对附属单位补助支出0万元，占0%。</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lang w:val="zh-CN" w:eastAsia="zh-CN"/>
        </w:rPr>
        <w:t>年实际完成财政总支出</w:t>
      </w:r>
      <w:r>
        <w:rPr>
          <w:rFonts w:hint="eastAsia" w:ascii="仿宋" w:hAnsi="仿宋" w:eastAsia="仿宋" w:cs="仿宋"/>
          <w:kern w:val="0"/>
          <w:sz w:val="30"/>
          <w:szCs w:val="30"/>
          <w:lang w:val="en-US" w:eastAsia="zh-CN"/>
        </w:rPr>
        <w:t>1116.67</w:t>
      </w:r>
      <w:r>
        <w:rPr>
          <w:rFonts w:hint="eastAsia" w:ascii="仿宋" w:hAnsi="仿宋" w:eastAsia="仿宋" w:cs="仿宋"/>
          <w:kern w:val="0"/>
          <w:sz w:val="30"/>
          <w:szCs w:val="30"/>
          <w:lang w:val="zh-CN" w:eastAsia="zh-CN"/>
        </w:rPr>
        <w:t>万元，主要支出科目是：</w:t>
      </w:r>
    </w:p>
    <w:p w14:paraId="3F5AEA0A">
      <w:pPr>
        <w:rPr>
          <w:rFonts w:hint="eastAsia" w:ascii="Times New Roman" w:hAnsi="Times New Roman" w:eastAsia="黑体"/>
          <w:sz w:val="32"/>
          <w:szCs w:val="32"/>
        </w:rPr>
      </w:pPr>
      <w:r>
        <w:rPr>
          <w:rFonts w:hint="eastAsia" w:ascii="仿宋" w:hAnsi="仿宋" w:eastAsia="仿宋" w:cs="仿宋"/>
          <w:kern w:val="0"/>
          <w:sz w:val="30"/>
          <w:szCs w:val="30"/>
          <w:lang w:val="zh-CN" w:eastAsia="zh-CN"/>
        </w:rPr>
        <w:t>一般公共服务支出</w:t>
      </w:r>
      <w:r>
        <w:rPr>
          <w:rFonts w:hint="eastAsia" w:ascii="仿宋" w:hAnsi="仿宋" w:eastAsia="仿宋" w:cs="仿宋"/>
          <w:kern w:val="0"/>
          <w:sz w:val="30"/>
          <w:szCs w:val="30"/>
          <w:lang w:val="en-US" w:eastAsia="zh-CN"/>
        </w:rPr>
        <w:t>964.95</w:t>
      </w:r>
      <w:r>
        <w:rPr>
          <w:rFonts w:hint="eastAsia" w:ascii="仿宋" w:hAnsi="仿宋" w:eastAsia="仿宋" w:cs="仿宋"/>
          <w:kern w:val="0"/>
          <w:sz w:val="30"/>
          <w:szCs w:val="30"/>
          <w:lang w:val="zh-CN" w:eastAsia="zh-CN"/>
        </w:rPr>
        <w:t>万元；</w:t>
      </w:r>
      <w:r>
        <w:rPr>
          <w:rFonts w:hint="eastAsia" w:ascii="仿宋" w:hAnsi="仿宋" w:eastAsia="仿宋" w:cs="仿宋"/>
          <w:kern w:val="0"/>
          <w:sz w:val="30"/>
          <w:szCs w:val="30"/>
          <w:lang w:val="en-US" w:eastAsia="zh-CN"/>
        </w:rPr>
        <w:t>社会保障和就业支出103.20万元；农林水支出23.07万元；城乡社区支出9.25万元；教育支出2万元；粮油物资储备支出9.2万元；文化旅游传媒支出2万元，节能环保支出3万元。</w:t>
      </w:r>
    </w:p>
    <w:p w14:paraId="1D95342F">
      <w:pPr>
        <w:pStyle w:val="6"/>
        <w:widowControl/>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三、政府性基金项目支出情况</w:t>
      </w:r>
    </w:p>
    <w:p w14:paraId="3366F2E0">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default" w:ascii="Times New Roman" w:hAnsi="Times New Roman" w:eastAsia="黑体"/>
          <w:sz w:val="32"/>
          <w:szCs w:val="32"/>
          <w:lang w:val="en-US" w:eastAsia="zh-CN"/>
        </w:rPr>
      </w:pPr>
      <w:r>
        <w:rPr>
          <w:rFonts w:hint="eastAsia" w:ascii="仿宋" w:hAnsi="仿宋" w:eastAsia="仿宋" w:cs="仿宋"/>
          <w:kern w:val="0"/>
          <w:sz w:val="30"/>
          <w:szCs w:val="30"/>
          <w:lang w:val="en-US" w:eastAsia="zh-CN" w:bidi="ar-SA"/>
        </w:rPr>
        <w:t>本单位无政府性基金项目支出</w:t>
      </w:r>
    </w:p>
    <w:p w14:paraId="4B42233D">
      <w:pPr>
        <w:pStyle w:val="6"/>
        <w:widowControl/>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lang w:val="en-US" w:eastAsia="zh-CN"/>
        </w:rPr>
        <w:t>四、</w:t>
      </w:r>
      <w:r>
        <w:rPr>
          <w:rFonts w:hint="eastAsia" w:ascii="Times New Roman" w:hAnsi="Times New Roman" w:eastAsia="黑体"/>
          <w:sz w:val="32"/>
          <w:szCs w:val="32"/>
        </w:rPr>
        <w:t>国有资本经营项目支出情况</w:t>
      </w:r>
    </w:p>
    <w:p w14:paraId="542AF92D">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Times New Roman" w:hAnsi="Times New Roman" w:eastAsia="黑体"/>
          <w:sz w:val="32"/>
          <w:szCs w:val="32"/>
        </w:rPr>
      </w:pPr>
      <w:r>
        <w:rPr>
          <w:rFonts w:hint="eastAsia" w:ascii="仿宋" w:hAnsi="仿宋" w:eastAsia="仿宋" w:cs="仿宋"/>
          <w:kern w:val="0"/>
          <w:sz w:val="30"/>
          <w:szCs w:val="30"/>
          <w:lang w:val="en-US" w:eastAsia="zh-CN" w:bidi="ar-SA"/>
        </w:rPr>
        <w:t>本单位无国有资本经营项目支出</w:t>
      </w:r>
    </w:p>
    <w:p w14:paraId="133D9D60">
      <w:pPr>
        <w:pStyle w:val="6"/>
        <w:widowControl/>
        <w:numPr>
          <w:ilvl w:val="0"/>
          <w:numId w:val="2"/>
        </w:numPr>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社会保险基金项目支出情况</w:t>
      </w:r>
    </w:p>
    <w:p w14:paraId="700C35A4">
      <w:pPr>
        <w:pStyle w:val="6"/>
        <w:widowControl/>
        <w:numPr>
          <w:ilvl w:val="0"/>
          <w:numId w:val="0"/>
        </w:numPr>
        <w:spacing w:line="600" w:lineRule="exact"/>
        <w:ind w:leftChars="0" w:firstLine="600" w:firstLineChars="200"/>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本单位无社会保险基金项目支出</w:t>
      </w:r>
    </w:p>
    <w:p w14:paraId="413C6033">
      <w:pPr>
        <w:pStyle w:val="6"/>
        <w:widowControl/>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六、部门整体支出绩效情况</w:t>
      </w:r>
    </w:p>
    <w:p w14:paraId="7AF33BEE">
      <w:pPr>
        <w:adjustRightInd w:val="0"/>
        <w:snapToGrid w:val="0"/>
        <w:spacing w:line="540" w:lineRule="atLeas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（一）绩效评价实施过程情况</w:t>
      </w:r>
    </w:p>
    <w:p w14:paraId="09F5B48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0" w:firstLine="600" w:firstLineChars="200"/>
        <w:textAlignment w:val="auto"/>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14:paraId="240B87CA">
      <w:pPr>
        <w:adjustRightInd w:val="0"/>
        <w:snapToGrid w:val="0"/>
        <w:spacing w:line="540" w:lineRule="atLeas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（二）绩效评价整体结果概况</w:t>
      </w:r>
    </w:p>
    <w:p w14:paraId="6ED237A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0"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2023年初预算数为664.92万元。其中，一般公共预算拨款664.92万元。2023年决算数1116.67万元，执行率为100%。三公经费5.99万元，执行率46.08%，控制了三公经费的开支。</w:t>
      </w:r>
    </w:p>
    <w:p w14:paraId="3374AECC">
      <w:pPr>
        <w:adjustRightInd w:val="0"/>
        <w:snapToGrid w:val="0"/>
        <w:spacing w:line="540" w:lineRule="atLeas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（三）投入情况分析，</w:t>
      </w:r>
    </w:p>
    <w:p w14:paraId="4F04EB2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0" w:firstLine="600" w:firstLineChars="200"/>
        <w:textAlignment w:val="auto"/>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按时完成2023年预算编制及公开，全年目标有1：贯彻执行规划建设，基础设施建设，稳定和完善农村基本经营管理全面实施下政府各项决策部署，确保各项工作目标任务圆满完成。2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14:paraId="408DC887">
      <w:pPr>
        <w:adjustRightInd w:val="0"/>
        <w:snapToGrid w:val="0"/>
        <w:spacing w:line="540" w:lineRule="atLeas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（四）执行管理情况分析</w:t>
      </w:r>
    </w:p>
    <w:p w14:paraId="7FF4FF1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0"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2023年决算支出为1116.67万元，执行率为100%。2023年决算数较2022年有所下降，主要控制了各项开支。</w:t>
      </w:r>
    </w:p>
    <w:p w14:paraId="073DC27C">
      <w:pPr>
        <w:adjustRightInd w:val="0"/>
        <w:snapToGrid w:val="0"/>
        <w:spacing w:line="540" w:lineRule="atLeas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（三）支出绩效情况分析</w:t>
      </w:r>
    </w:p>
    <w:p w14:paraId="468CF578">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color w:val="000000"/>
          <w:sz w:val="32"/>
          <w:szCs w:val="32"/>
        </w:rPr>
      </w:pPr>
      <w:r>
        <w:rPr>
          <w:rFonts w:hint="eastAsia" w:ascii="仿宋" w:hAnsi="仿宋" w:eastAsia="仿宋" w:cs="仿宋"/>
          <w:kern w:val="0"/>
          <w:sz w:val="30"/>
          <w:szCs w:val="30"/>
          <w:lang w:val="en-US" w:eastAsia="zh-CN" w:bidi="ar-SA"/>
        </w:rPr>
        <w:t>2023年基本支出为1116.67万元，其中基本支出为982.29万元，其他建设项目支出134.38万元,贯彻执行规划建设，基础设施建设，稳定和完善农村基本经营管理全面实施下政府各项决策部署，确保各项工作目标任务圆满完成。</w:t>
      </w:r>
    </w:p>
    <w:p w14:paraId="3FB5B3A6">
      <w:pPr>
        <w:pStyle w:val="6"/>
        <w:widowControl/>
        <w:numPr>
          <w:ilvl w:val="0"/>
          <w:numId w:val="3"/>
        </w:numPr>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存在的问题及原因分析</w:t>
      </w:r>
    </w:p>
    <w:p w14:paraId="091FBD29">
      <w:pPr>
        <w:pStyle w:val="6"/>
        <w:widowControl/>
        <w:numPr>
          <w:ilvl w:val="0"/>
          <w:numId w:val="0"/>
        </w:numPr>
        <w:spacing w:line="600" w:lineRule="exact"/>
        <w:ind w:leftChars="0" w:firstLine="600" w:firstLineChars="200"/>
        <w:rPr>
          <w:sz w:val="32"/>
          <w:szCs w:val="32"/>
        </w:rPr>
      </w:pPr>
      <w:r>
        <w:rPr>
          <w:rFonts w:hint="eastAsia" w:ascii="仿宋" w:hAnsi="仿宋" w:eastAsia="仿宋" w:cs="仿宋"/>
          <w:kern w:val="0"/>
          <w:sz w:val="30"/>
          <w:szCs w:val="30"/>
          <w:lang w:val="en-US" w:eastAsia="zh-CN"/>
        </w:rPr>
        <w:t>存在的问题：1.预算编制工作有待细化。预算编制不够明确和细化，预算编制的合理性需要提高，预算执行力度还要进一步加强；2.公用经费控制有一定难度，基本为刚性支出。</w:t>
      </w:r>
    </w:p>
    <w:p w14:paraId="6EBD77FD">
      <w:pPr>
        <w:pStyle w:val="6"/>
        <w:widowControl/>
        <w:numPr>
          <w:ilvl w:val="0"/>
          <w:numId w:val="3"/>
        </w:numPr>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下一步改进措施</w:t>
      </w:r>
    </w:p>
    <w:p w14:paraId="6B1E1D93">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0755AE99">
      <w:pPr>
        <w:numPr>
          <w:ilvl w:val="0"/>
          <w:numId w:val="0"/>
        </w:numPr>
        <w:adjustRightInd w:val="0"/>
        <w:snapToGrid w:val="0"/>
        <w:spacing w:line="540" w:lineRule="atLeast"/>
        <w:ind w:firstLine="600" w:firstLineChars="200"/>
        <w:rPr>
          <w:rFonts w:hint="eastAsia" w:ascii="Times New Roman" w:hAnsi="Times New Roman" w:eastAsia="黑体"/>
          <w:sz w:val="32"/>
          <w:szCs w:val="32"/>
        </w:rPr>
      </w:pPr>
      <w:r>
        <w:rPr>
          <w:rFonts w:hint="eastAsia" w:ascii="仿宋" w:hAnsi="仿宋" w:eastAsia="仿宋" w:cs="仿宋"/>
          <w:kern w:val="0"/>
          <w:sz w:val="30"/>
          <w:szCs w:val="30"/>
          <w:lang w:val="en-US" w:eastAsia="zh-CN"/>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2CBED34C">
      <w:pPr>
        <w:pStyle w:val="6"/>
        <w:widowControl/>
        <w:spacing w:line="600" w:lineRule="exact"/>
        <w:ind w:left="0" w:leftChars="0" w:firstLine="0" w:firstLineChars="0"/>
        <w:rPr>
          <w:rFonts w:hint="eastAsia" w:ascii="Times New Roman" w:hAnsi="Times New Roman" w:eastAsia="黑体"/>
          <w:sz w:val="32"/>
          <w:szCs w:val="32"/>
        </w:rPr>
      </w:pPr>
      <w:r>
        <w:rPr>
          <w:rFonts w:hint="eastAsia" w:ascii="Times New Roman" w:hAnsi="Times New Roman" w:eastAsia="黑体"/>
          <w:sz w:val="32"/>
          <w:szCs w:val="32"/>
        </w:rPr>
        <w:t>九、部门整体支出绩效自评结果拟应用和公开情况</w:t>
      </w:r>
    </w:p>
    <w:p w14:paraId="2EA24E03">
      <w:pPr>
        <w:widowControl/>
        <w:spacing w:line="600" w:lineRule="exact"/>
        <w:ind w:firstLine="600" w:firstLineChars="200"/>
        <w:jc w:val="left"/>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本单位如实应用和公开</w:t>
      </w:r>
    </w:p>
    <w:p w14:paraId="6188CBB0">
      <w:pPr>
        <w:widowControl/>
        <w:spacing w:line="600" w:lineRule="exact"/>
        <w:jc w:val="left"/>
        <w:rPr>
          <w:rFonts w:hint="eastAsia" w:ascii="Times New Roman" w:hAnsi="Times New Roman" w:eastAsia="黑体"/>
          <w:sz w:val="32"/>
          <w:szCs w:val="32"/>
        </w:rPr>
      </w:pPr>
      <w:r>
        <w:rPr>
          <w:rFonts w:hint="eastAsia" w:ascii="Times New Roman" w:hAnsi="Times New Roman" w:eastAsia="黑体" w:cs="Times New Roman"/>
          <w:kern w:val="0"/>
          <w:sz w:val="32"/>
          <w:szCs w:val="32"/>
          <w:lang w:val="en-US" w:eastAsia="zh-CN" w:bidi="ar-SA"/>
        </w:rPr>
        <w:t>十</w:t>
      </w:r>
      <w:r>
        <w:rPr>
          <w:rFonts w:hint="eastAsia" w:eastAsia="黑体"/>
          <w:sz w:val="32"/>
          <w:szCs w:val="32"/>
        </w:rPr>
        <w:t>、其他需要说明的情况</w:t>
      </w:r>
    </w:p>
    <w:p w14:paraId="3B6FFBBB">
      <w:pPr>
        <w:pStyle w:val="6"/>
        <w:widowControl/>
        <w:spacing w:line="600" w:lineRule="exact"/>
        <w:ind w:left="0" w:leftChars="0"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无</w:t>
      </w:r>
    </w:p>
    <w:p w14:paraId="285097A8">
      <w:pPr>
        <w:widowControl/>
        <w:spacing w:line="600" w:lineRule="exact"/>
        <w:ind w:firstLine="645"/>
        <w:jc w:val="left"/>
        <w:rPr>
          <w:rFonts w:hint="eastAsia"/>
          <w:sz w:val="32"/>
          <w:szCs w:val="32"/>
        </w:rPr>
      </w:pPr>
    </w:p>
    <w:p w14:paraId="045058CD">
      <w:pPr>
        <w:widowControl/>
        <w:spacing w:line="600" w:lineRule="exact"/>
        <w:ind w:firstLine="645"/>
        <w:jc w:val="left"/>
        <w:rPr>
          <w:rFonts w:hint="eastAsia"/>
          <w:sz w:val="32"/>
          <w:szCs w:val="32"/>
        </w:rPr>
      </w:pPr>
    </w:p>
    <w:p w14:paraId="1CBDC317">
      <w:pPr>
        <w:widowControl/>
        <w:spacing w:line="600" w:lineRule="exact"/>
        <w:ind w:firstLine="645"/>
        <w:jc w:val="left"/>
        <w:rPr>
          <w:rFonts w:hint="eastAsia"/>
          <w:sz w:val="32"/>
          <w:szCs w:val="32"/>
        </w:rPr>
      </w:pPr>
    </w:p>
    <w:p w14:paraId="3826E4DD">
      <w:pPr>
        <w:widowControl/>
        <w:spacing w:line="600" w:lineRule="exact"/>
        <w:ind w:firstLine="645"/>
        <w:jc w:val="left"/>
        <w:rPr>
          <w:rFonts w:hint="eastAsia"/>
          <w:sz w:val="32"/>
          <w:szCs w:val="32"/>
        </w:rPr>
      </w:pPr>
    </w:p>
    <w:p w14:paraId="53EDF548">
      <w:pPr>
        <w:numPr>
          <w:ilvl w:val="0"/>
          <w:numId w:val="0"/>
        </w:numPr>
        <w:adjustRightInd w:val="0"/>
        <w:snapToGrid w:val="0"/>
        <w:spacing w:line="540" w:lineRule="atLeas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小龙门乡人民政府</w:t>
      </w:r>
    </w:p>
    <w:p w14:paraId="49E15A0C">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2024年4月12日</w:t>
      </w:r>
    </w:p>
    <w:p w14:paraId="50FC89D1">
      <w:pPr>
        <w:widowControl/>
        <w:spacing w:line="600" w:lineRule="exact"/>
        <w:ind w:firstLine="645"/>
        <w:jc w:val="left"/>
        <w:rPr>
          <w:rFonts w:hint="eastAsia"/>
          <w:sz w:val="32"/>
          <w:szCs w:val="32"/>
        </w:rPr>
      </w:pPr>
    </w:p>
    <w:p w14:paraId="6CE81F32">
      <w:pPr>
        <w:widowControl/>
        <w:spacing w:line="600" w:lineRule="exact"/>
        <w:ind w:firstLine="645"/>
        <w:jc w:val="left"/>
        <w:rPr>
          <w:rFonts w:hint="eastAsia"/>
          <w:sz w:val="32"/>
          <w:szCs w:val="32"/>
        </w:rPr>
      </w:pPr>
    </w:p>
    <w:p w14:paraId="27A8910F">
      <w:pPr>
        <w:widowControl/>
        <w:spacing w:line="600" w:lineRule="exact"/>
        <w:ind w:firstLine="645"/>
        <w:jc w:val="left"/>
        <w:rPr>
          <w:rFonts w:hint="eastAsia"/>
          <w:sz w:val="32"/>
          <w:szCs w:val="32"/>
        </w:rPr>
      </w:pPr>
    </w:p>
    <w:p w14:paraId="4203428E">
      <w:pPr>
        <w:widowControl/>
        <w:spacing w:line="600" w:lineRule="exact"/>
        <w:ind w:firstLine="645"/>
        <w:jc w:val="left"/>
        <w:rPr>
          <w:rFonts w:hint="eastAsia"/>
          <w:sz w:val="32"/>
          <w:szCs w:val="32"/>
        </w:rPr>
      </w:pPr>
    </w:p>
    <w:p w14:paraId="21118538">
      <w:pPr>
        <w:widowControl/>
        <w:spacing w:line="600" w:lineRule="exact"/>
        <w:ind w:firstLine="645"/>
        <w:jc w:val="left"/>
        <w:rPr>
          <w:rFonts w:hint="eastAsia"/>
          <w:sz w:val="32"/>
          <w:szCs w:val="32"/>
        </w:rPr>
      </w:pPr>
    </w:p>
    <w:p w14:paraId="4AAD148F">
      <w:pPr>
        <w:widowControl/>
        <w:spacing w:line="600" w:lineRule="exact"/>
        <w:ind w:firstLine="645"/>
        <w:jc w:val="left"/>
        <w:rPr>
          <w:rFonts w:hint="eastAsia"/>
          <w:sz w:val="32"/>
          <w:szCs w:val="32"/>
        </w:rPr>
      </w:pPr>
    </w:p>
    <w:p w14:paraId="24ECAB47">
      <w:pPr>
        <w:widowControl/>
        <w:spacing w:line="600" w:lineRule="exact"/>
        <w:ind w:firstLine="645"/>
        <w:jc w:val="left"/>
        <w:rPr>
          <w:rFonts w:hint="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CBC6"/>
    <w:multiLevelType w:val="singleLevel"/>
    <w:tmpl w:val="9437CBC6"/>
    <w:lvl w:ilvl="0" w:tentative="0">
      <w:start w:val="7"/>
      <w:numFmt w:val="chineseCounting"/>
      <w:suff w:val="nothing"/>
      <w:lvlText w:val="%1、"/>
      <w:lvlJc w:val="left"/>
      <w:rPr>
        <w:rFonts w:hint="eastAsia"/>
      </w:rPr>
    </w:lvl>
  </w:abstractNum>
  <w:abstractNum w:abstractNumId="1">
    <w:nsid w:val="E64D8D50"/>
    <w:multiLevelType w:val="singleLevel"/>
    <w:tmpl w:val="E64D8D50"/>
    <w:lvl w:ilvl="0" w:tentative="0">
      <w:start w:val="5"/>
      <w:numFmt w:val="chineseCounting"/>
      <w:suff w:val="nothing"/>
      <w:lvlText w:val="%1、"/>
      <w:lvlJc w:val="left"/>
      <w:rPr>
        <w:rFonts w:hint="eastAsia"/>
      </w:rPr>
    </w:lvl>
  </w:abstractNum>
  <w:abstractNum w:abstractNumId="2">
    <w:nsid w:val="10C04C43"/>
    <w:multiLevelType w:val="singleLevel"/>
    <w:tmpl w:val="10C04C4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TBkNGMyNTA0ODRiOGExMDYzZjJkY2UxZWQwN2IifQ=="/>
    <w:docVar w:name="KSO_WPS_MARK_KEY" w:val="ead134b7-3c97-45f9-b9d0-cb3e1799ca2b"/>
  </w:docVars>
  <w:rsids>
    <w:rsidRoot w:val="6E7B3E32"/>
    <w:rsid w:val="02E802B8"/>
    <w:rsid w:val="432158F7"/>
    <w:rsid w:val="4DB718CB"/>
    <w:rsid w:val="6E7B3E32"/>
    <w:rsid w:val="7ECC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2345</Words>
  <Characters>2544</Characters>
  <Lines>0</Lines>
  <Paragraphs>0</Paragraphs>
  <TotalTime>16</TotalTime>
  <ScaleCrop>false</ScaleCrop>
  <LinksUpToDate>false</LinksUpToDate>
  <CharactersWithSpaces>2617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2024-04-12T05:52:00Z</dcterms:created>
  <dc:creator>PC</dc:creator>
  <cp:lastModifiedBy>Auknow</cp:lastModifiedBy>
  <dcterms:modified xsi:type="dcterms:W3CDTF">2024-09-03T02:44:51Z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E882AF75AAC049439C9624549E20A76B</vt:lpwstr>
  </property>
</Properties>
</file>