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5"/>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宋体"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宋体"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宋体" w:cs="宋体"/>
                <w:kern w:val="0"/>
                <w:sz w:val="24"/>
                <w:szCs w:val="24"/>
              </w:rPr>
            </w:pPr>
            <w:r>
              <w:rPr>
                <w:rFonts w:hint="eastAsia" w:ascii="宋体" w:hAnsi="宋体" w:eastAsia="宋体" w:cs="宋体"/>
                <w:kern w:val="0"/>
                <w:sz w:val="20"/>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宋体" w:cs="宋体"/>
                <w:kern w:val="0"/>
                <w:sz w:val="24"/>
                <w:szCs w:val="24"/>
              </w:rPr>
            </w:pPr>
            <w:r>
              <w:rPr>
                <w:rFonts w:hint="eastAsia" w:ascii="宋体" w:hAnsi="宋体" w:eastAsia="宋体" w:cs="宋体"/>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ind w:left="210" w:leftChars="100"/>
        <w:rPr>
          <w:rFonts w:ascii="仿宋" w:hAnsi="仿宋" w:eastAsia="仿宋"/>
          <w:b/>
          <w:sz w:val="24"/>
          <w:szCs w:val="24"/>
        </w:rPr>
      </w:pPr>
    </w:p>
    <w:p>
      <w:pPr>
        <w:widowControl/>
        <w:spacing w:line="578" w:lineRule="exact"/>
        <w:jc w:val="left"/>
        <w:rPr>
          <w:rFonts w:ascii="宋体" w:hAnsi="宋体" w:eastAsia="宋体" w:cs="宋体"/>
          <w:b/>
          <w:kern w:val="0"/>
          <w:sz w:val="32"/>
          <w:szCs w:val="32"/>
        </w:rPr>
      </w:pPr>
      <w:bookmarkStart w:id="0" w:name="_GoBack"/>
      <w:bookmarkEnd w:id="0"/>
    </w:p>
    <w:p>
      <w:pPr>
        <w:widowControl/>
        <w:spacing w:line="578" w:lineRule="exact"/>
        <w:jc w:val="left"/>
        <w:rPr>
          <w:rFonts w:ascii="宋体" w:hAnsi="宋体" w:eastAsia="宋体" w:cs="宋体"/>
          <w:b/>
          <w:kern w:val="0"/>
          <w:sz w:val="32"/>
          <w:szCs w:val="32"/>
        </w:rPr>
      </w:pPr>
    </w:p>
    <w:p>
      <w:pPr>
        <w:rPr>
          <w:rFonts w:ascii="仿宋" w:hAnsi="仿宋" w:eastAsia="仿宋"/>
          <w:sz w:val="32"/>
          <w:szCs w:val="32"/>
        </w:rPr>
      </w:pPr>
    </w:p>
    <w:sectPr>
      <w:footerReference r:id="rId3" w:type="default"/>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34681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A9D"/>
    <w:rsid w:val="000433CF"/>
    <w:rsid w:val="000844E8"/>
    <w:rsid w:val="000B1DF1"/>
    <w:rsid w:val="000D4BE0"/>
    <w:rsid w:val="000F12B1"/>
    <w:rsid w:val="001D0151"/>
    <w:rsid w:val="002002D8"/>
    <w:rsid w:val="00212340"/>
    <w:rsid w:val="002D08D8"/>
    <w:rsid w:val="002D330E"/>
    <w:rsid w:val="002E4535"/>
    <w:rsid w:val="003E00BC"/>
    <w:rsid w:val="003E2CBE"/>
    <w:rsid w:val="00452388"/>
    <w:rsid w:val="0053241D"/>
    <w:rsid w:val="00537849"/>
    <w:rsid w:val="00596930"/>
    <w:rsid w:val="005D6D51"/>
    <w:rsid w:val="0062194C"/>
    <w:rsid w:val="00626892"/>
    <w:rsid w:val="006411BD"/>
    <w:rsid w:val="0069146C"/>
    <w:rsid w:val="006F3203"/>
    <w:rsid w:val="00722AC9"/>
    <w:rsid w:val="00777B2F"/>
    <w:rsid w:val="007D0828"/>
    <w:rsid w:val="0084360E"/>
    <w:rsid w:val="00924E74"/>
    <w:rsid w:val="00966A9D"/>
    <w:rsid w:val="00A215BD"/>
    <w:rsid w:val="00A27123"/>
    <w:rsid w:val="00AA52F4"/>
    <w:rsid w:val="00AC55A0"/>
    <w:rsid w:val="00B3300E"/>
    <w:rsid w:val="00BB4E12"/>
    <w:rsid w:val="00CB0A9F"/>
    <w:rsid w:val="00DB1392"/>
    <w:rsid w:val="00DD1457"/>
    <w:rsid w:val="00DD3BB6"/>
    <w:rsid w:val="00E27331"/>
    <w:rsid w:val="00EF48B3"/>
    <w:rsid w:val="00F1062F"/>
    <w:rsid w:val="00F81B5C"/>
    <w:rsid w:val="00FA1380"/>
    <w:rsid w:val="00FB42EA"/>
    <w:rsid w:val="1EE46B9F"/>
    <w:rsid w:val="46C35FAF"/>
    <w:rsid w:val="52BE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BF0BD-076D-4431-B726-6D6F96BDB2DB}">
  <ds:schemaRefs/>
</ds:datastoreItem>
</file>

<file path=docProps/app.xml><?xml version="1.0" encoding="utf-8"?>
<Properties xmlns="http://schemas.openxmlformats.org/officeDocument/2006/extended-properties" xmlns:vt="http://schemas.openxmlformats.org/officeDocument/2006/docPropsVTypes">
  <Template>Normal</Template>
  <Pages>8</Pages>
  <Words>1091</Words>
  <Characters>6222</Characters>
  <Lines>51</Lines>
  <Paragraphs>14</Paragraphs>
  <TotalTime>118</TotalTime>
  <ScaleCrop>false</ScaleCrop>
  <LinksUpToDate>false</LinksUpToDate>
  <CharactersWithSpaces>7299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2022-03-15T06:57:00Z</dcterms:created>
  <dc:creator>Administrator</dc:creator>
  <cp:lastModifiedBy>Administrator</cp:lastModifiedBy>
  <cp:lastPrinted>2022-03-15T09:05:00Z</cp:lastPrinted>
  <dcterms:modified xsi:type="dcterms:W3CDTF">2022-04-14T02:22:18Z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874EE911999E4AEAA7654B7DDAECF8A2</vt:lpwstr>
  </property>
</Properties>
</file>