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jc w:val="center"/>
        <w:rPr>
          <w:rFonts w:hint="eastAsia" w:ascii="宋体" w:hAnsi="宋体" w:eastAsia="宋体" w:cs="宋体"/>
          <w:b/>
          <w:kern w:val="0"/>
          <w:sz w:val="44"/>
          <w:szCs w:val="44"/>
          <w:lang w:val="en-US" w:eastAsia="zh-CN"/>
        </w:rPr>
      </w:pPr>
    </w:p>
    <w:p>
      <w:pPr>
        <w:adjustRightInd w:val="0"/>
        <w:snapToGrid w:val="0"/>
        <w:spacing w:line="560" w:lineRule="atLeast"/>
        <w:ind w:firstLine="442" w:firstLineChars="100"/>
        <w:jc w:val="both"/>
        <w:rPr>
          <w:rFonts w:hint="eastAsia" w:ascii="宋体" w:hAnsi="宋体" w:eastAsia="宋体" w:cs="宋体"/>
          <w:b/>
          <w:kern w:val="0"/>
          <w:sz w:val="44"/>
          <w:szCs w:val="44"/>
          <w:lang w:val="en-US" w:eastAsia="zh-CN"/>
        </w:rPr>
      </w:pPr>
    </w:p>
    <w:p>
      <w:pPr>
        <w:adjustRightInd w:val="0"/>
        <w:snapToGrid w:val="0"/>
        <w:spacing w:line="560" w:lineRule="atLeast"/>
        <w:ind w:firstLine="442" w:firstLineChars="100"/>
        <w:jc w:val="both"/>
        <w:rPr>
          <w:rFonts w:hint="eastAsia" w:ascii="宋体" w:hAnsi="宋体" w:eastAsia="宋体" w:cs="宋体"/>
          <w:b/>
          <w:kern w:val="0"/>
          <w:sz w:val="44"/>
          <w:szCs w:val="44"/>
        </w:rPr>
      </w:pPr>
      <w:r>
        <w:rPr>
          <w:rFonts w:hint="eastAsia" w:ascii="宋体" w:hAnsi="宋体" w:eastAsia="宋体" w:cs="宋体"/>
          <w:b/>
          <w:kern w:val="0"/>
          <w:sz w:val="44"/>
          <w:szCs w:val="44"/>
          <w:lang w:val="en-US" w:eastAsia="zh-CN"/>
        </w:rPr>
        <w:t>2021年火马冲镇人民政府</w:t>
      </w:r>
      <w:r>
        <w:rPr>
          <w:rFonts w:hint="eastAsia" w:ascii="宋体" w:hAnsi="宋体" w:eastAsia="宋体" w:cs="宋体"/>
          <w:b/>
          <w:kern w:val="0"/>
          <w:sz w:val="44"/>
          <w:szCs w:val="44"/>
        </w:rPr>
        <w:t>部门整体支出</w:t>
      </w:r>
    </w:p>
    <w:p>
      <w:pPr>
        <w:adjustRightInd w:val="0"/>
        <w:snapToGrid w:val="0"/>
        <w:spacing w:line="56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绩效评价报告</w:t>
      </w:r>
    </w:p>
    <w:p>
      <w:pPr>
        <w:adjustRightInd w:val="0"/>
        <w:snapToGrid w:val="0"/>
        <w:spacing w:line="560" w:lineRule="atLeast"/>
        <w:jc w:val="both"/>
        <w:rPr>
          <w:rFonts w:hint="eastAsia" w:ascii="宋体" w:hAnsi="宋体" w:eastAsia="宋体" w:cs="宋体"/>
          <w:b/>
          <w:kern w:val="0"/>
          <w:sz w:val="32"/>
          <w:szCs w:val="32"/>
        </w:rPr>
      </w:pPr>
    </w:p>
    <w:p>
      <w:pPr>
        <w:adjustRightInd w:val="0"/>
        <w:snapToGrid w:val="0"/>
        <w:spacing w:line="560" w:lineRule="atLeast"/>
        <w:jc w:val="center"/>
        <w:rPr>
          <w:rFonts w:hint="eastAsia" w:ascii="宋体" w:hAnsi="宋体" w:eastAsia="宋体" w:cs="宋体"/>
          <w:b/>
          <w:kern w:val="0"/>
          <w:sz w:val="32"/>
          <w:szCs w:val="32"/>
        </w:rPr>
      </w:pPr>
    </w:p>
    <w:p>
      <w:pPr>
        <w:adjustRightInd w:val="0"/>
        <w:snapToGrid w:val="0"/>
        <w:spacing w:line="540" w:lineRule="atLeas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0" w:firstLineChars="0"/>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辰溪县</w:t>
      </w:r>
      <w:r>
        <w:rPr>
          <w:rFonts w:hint="eastAsia" w:ascii="仿宋" w:hAnsi="仿宋" w:eastAsia="仿宋" w:cs="仿宋"/>
          <w:kern w:val="0"/>
          <w:sz w:val="30"/>
          <w:szCs w:val="30"/>
          <w:lang w:eastAsia="zh-CN"/>
        </w:rPr>
        <w:t>火马冲镇</w:t>
      </w:r>
      <w:r>
        <w:rPr>
          <w:rFonts w:hint="eastAsia" w:ascii="仿宋" w:hAnsi="仿宋" w:eastAsia="仿宋" w:cs="仿宋"/>
          <w:kern w:val="0"/>
          <w:sz w:val="30"/>
          <w:szCs w:val="30"/>
        </w:rPr>
        <w:t>人民政府</w:t>
      </w:r>
      <w:r>
        <w:rPr>
          <w:rFonts w:hint="eastAsia" w:ascii="仿宋" w:hAnsi="仿宋" w:eastAsia="仿宋" w:cs="仿宋"/>
          <w:kern w:val="0"/>
          <w:sz w:val="30"/>
          <w:szCs w:val="30"/>
          <w:lang w:eastAsia="zh-CN"/>
        </w:rPr>
        <w:t>主要</w:t>
      </w:r>
      <w:r>
        <w:rPr>
          <w:rFonts w:hint="eastAsia" w:ascii="仿宋" w:hAnsi="仿宋" w:eastAsia="仿宋" w:cs="仿宋"/>
          <w:kern w:val="0"/>
          <w:sz w:val="30"/>
          <w:szCs w:val="30"/>
        </w:rPr>
        <w:t>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机构设置情况：</w:t>
      </w:r>
      <w:r>
        <w:rPr>
          <w:rFonts w:hint="eastAsia" w:ascii="仿宋" w:hAnsi="仿宋" w:eastAsia="仿宋" w:cs="仿宋"/>
          <w:kern w:val="0"/>
          <w:sz w:val="30"/>
          <w:szCs w:val="30"/>
          <w:lang w:eastAsia="zh-CN"/>
        </w:rPr>
        <w:t>辰溪县火马冲镇</w:t>
      </w:r>
      <w:r>
        <w:rPr>
          <w:rFonts w:hint="eastAsia" w:ascii="仿宋" w:hAnsi="仿宋" w:eastAsia="仿宋" w:cs="仿宋"/>
          <w:kern w:val="0"/>
          <w:sz w:val="30"/>
          <w:szCs w:val="30"/>
        </w:rPr>
        <w:t>人民政府属全额行政机关，是一级部门预算单位，根据编制部门机构改革批复方案，内设</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党政办公室、党建办公室、经济发展办公室、社会事务办公室、社会治安和应急管理办公室、自然资源和生态环境办公室、财政所</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社会事务综合服务中心、农业综合服务中心、便民服务中心、综合行政执法大队。</w:t>
      </w:r>
    </w:p>
    <w:p>
      <w:pPr>
        <w:numPr>
          <w:ilvl w:val="0"/>
          <w:numId w:val="1"/>
        </w:numPr>
        <w:adjustRightInd w:val="0"/>
        <w:snapToGrid w:val="0"/>
        <w:spacing w:line="540" w:lineRule="atLeast"/>
        <w:ind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人员情况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420" w:leftChars="200" w:right="0" w:firstLine="0"/>
        <w:jc w:val="both"/>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val="en-US" w:eastAsia="zh-CN" w:bidi="ar-SA"/>
        </w:rPr>
        <w:t>人员情况：截至2021年底，火马冲镇乡人民政府核定人员编制90人，行政编制35人，事业编制55人（财政补助人员55人)；实际在编109人（行政编制33人，事业编制76人），财政实际供给100人</w:t>
      </w:r>
      <w:bookmarkStart w:id="0" w:name="_GoBack"/>
      <w:bookmarkEnd w:id="0"/>
      <w:r>
        <w:rPr>
          <w:rFonts w:hint="eastAsia" w:ascii="仿宋" w:hAnsi="仿宋" w:eastAsia="仿宋" w:cs="仿宋"/>
          <w:kern w:val="0"/>
          <w:sz w:val="30"/>
          <w:szCs w:val="30"/>
          <w:lang w:val="en-US" w:eastAsia="zh-CN" w:bidi="ar-SA"/>
        </w:rPr>
        <w:t>。</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2021年共取得预算收入2423.31万元，其中：财政拨款收入2423.31万元，占100%；上级补助收入0万元，占0%；事业收入0万元，占0%；经营收入0万元，占0%；附属单位上缴收入0万元，占0%；其他收入0万元，占0%。</w:t>
      </w:r>
      <w:r>
        <w:rPr>
          <w:rFonts w:hint="eastAsia" w:eastAsia="仿宋_GB2312"/>
          <w:color w:val="000000"/>
          <w:sz w:val="32"/>
          <w:szCs w:val="32"/>
        </w:rPr>
        <w:t>至</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年1</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eastAsia="zh-CN"/>
        </w:rPr>
        <w:t>月份实际完成财政收入</w:t>
      </w:r>
      <w:r>
        <w:rPr>
          <w:rFonts w:hint="eastAsia" w:ascii="仿宋" w:hAnsi="仿宋" w:eastAsia="仿宋" w:cs="仿宋"/>
          <w:kern w:val="0"/>
          <w:sz w:val="30"/>
          <w:szCs w:val="30"/>
          <w:lang w:val="en-US" w:eastAsia="zh-CN"/>
        </w:rPr>
        <w:t>2250.81</w:t>
      </w:r>
      <w:r>
        <w:rPr>
          <w:rFonts w:hint="eastAsia" w:ascii="仿宋" w:hAnsi="仿宋" w:eastAsia="仿宋" w:cs="仿宋"/>
          <w:kern w:val="0"/>
          <w:sz w:val="30"/>
          <w:szCs w:val="30"/>
          <w:lang w:val="zh-CN" w:eastAsia="zh-CN"/>
        </w:rPr>
        <w:t>万元。202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年各项财政收入是：财政拨款收入</w:t>
      </w:r>
      <w:r>
        <w:rPr>
          <w:rFonts w:hint="eastAsia" w:ascii="仿宋" w:hAnsi="仿宋" w:eastAsia="仿宋" w:cs="仿宋"/>
          <w:kern w:val="0"/>
          <w:sz w:val="30"/>
          <w:szCs w:val="30"/>
          <w:lang w:val="en-US" w:eastAsia="zh-CN"/>
        </w:rPr>
        <w:t>2250.81</w:t>
      </w:r>
      <w:r>
        <w:rPr>
          <w:rFonts w:hint="eastAsia" w:ascii="仿宋" w:hAnsi="仿宋" w:eastAsia="仿宋" w:cs="仿宋"/>
          <w:kern w:val="0"/>
          <w:sz w:val="30"/>
          <w:szCs w:val="30"/>
          <w:lang w:val="zh-CN" w:eastAsia="zh-CN"/>
        </w:rPr>
        <w:t>万元。各项收入是：基本支出拨款收入</w:t>
      </w:r>
      <w:r>
        <w:rPr>
          <w:rFonts w:hint="eastAsia" w:ascii="仿宋" w:hAnsi="仿宋" w:eastAsia="仿宋" w:cs="仿宋"/>
          <w:kern w:val="0"/>
          <w:sz w:val="30"/>
          <w:szCs w:val="30"/>
          <w:lang w:val="en-US" w:eastAsia="zh-CN"/>
        </w:rPr>
        <w:t>2250.81</w:t>
      </w:r>
      <w:r>
        <w:rPr>
          <w:rFonts w:hint="eastAsia" w:ascii="仿宋" w:hAnsi="仿宋" w:eastAsia="仿宋" w:cs="仿宋"/>
          <w:kern w:val="0"/>
          <w:sz w:val="30"/>
          <w:szCs w:val="30"/>
          <w:lang w:val="zh-CN" w:eastAsia="zh-CN"/>
        </w:rPr>
        <w:t>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color w:val="auto"/>
          <w:kern w:val="0"/>
          <w:sz w:val="30"/>
          <w:szCs w:val="30"/>
          <w:lang w:val="en-US" w:eastAsia="zh-CN"/>
        </w:rPr>
        <w:t>预算支出合计2423.31万元，其中：基本支出2423.31万元，占100%；项目支出0万元，占0%；上缴上级支出0万元，占0 %；经营支出0万元，占0%；对附属单位补助支出0万元，占0%。</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年实际完成财政总支出</w:t>
      </w:r>
      <w:r>
        <w:rPr>
          <w:rFonts w:hint="eastAsia" w:ascii="仿宋" w:hAnsi="仿宋" w:eastAsia="仿宋" w:cs="仿宋"/>
          <w:kern w:val="0"/>
          <w:sz w:val="30"/>
          <w:szCs w:val="30"/>
          <w:lang w:val="en-US" w:eastAsia="zh-CN"/>
        </w:rPr>
        <w:t>2301.79</w:t>
      </w:r>
      <w:r>
        <w:rPr>
          <w:rFonts w:hint="eastAsia" w:ascii="仿宋" w:hAnsi="仿宋" w:eastAsia="仿宋" w:cs="仿宋"/>
          <w:kern w:val="0"/>
          <w:sz w:val="30"/>
          <w:szCs w:val="30"/>
          <w:lang w:val="zh-CN" w:eastAsia="zh-CN"/>
        </w:rPr>
        <w:t>万元，主要支出科目是：</w:t>
      </w:r>
    </w:p>
    <w:p>
      <w:pPr>
        <w:rPr>
          <w:rFonts w:hint="eastAsia" w:ascii="仿宋" w:hAnsi="仿宋" w:eastAsia="仿宋" w:cs="仿宋"/>
          <w:color w:val="auto"/>
          <w:kern w:val="0"/>
          <w:sz w:val="30"/>
          <w:szCs w:val="30"/>
          <w:lang w:val="en-US" w:eastAsia="zh-CN"/>
        </w:rPr>
      </w:pPr>
      <w:r>
        <w:rPr>
          <w:rFonts w:hint="eastAsia" w:ascii="仿宋" w:hAnsi="仿宋" w:eastAsia="仿宋" w:cs="仿宋"/>
          <w:kern w:val="0"/>
          <w:sz w:val="30"/>
          <w:szCs w:val="30"/>
          <w:lang w:val="zh-CN" w:eastAsia="zh-CN"/>
        </w:rPr>
        <w:t>一般公共服务支出</w:t>
      </w:r>
      <w:r>
        <w:rPr>
          <w:rFonts w:hint="eastAsia" w:ascii="仿宋" w:hAnsi="仿宋" w:eastAsia="仿宋" w:cs="仿宋"/>
          <w:kern w:val="0"/>
          <w:sz w:val="30"/>
          <w:szCs w:val="30"/>
          <w:lang w:val="en-US" w:eastAsia="zh-CN"/>
        </w:rPr>
        <w:t>1944.97</w:t>
      </w:r>
      <w:r>
        <w:rPr>
          <w:rFonts w:hint="eastAsia" w:ascii="仿宋" w:hAnsi="仿宋" w:eastAsia="仿宋" w:cs="仿宋"/>
          <w:kern w:val="0"/>
          <w:sz w:val="30"/>
          <w:szCs w:val="30"/>
          <w:lang w:val="zh-CN" w:eastAsia="zh-CN"/>
        </w:rPr>
        <w:t>万元；</w:t>
      </w:r>
      <w:r>
        <w:rPr>
          <w:rFonts w:hint="eastAsia" w:ascii="仿宋" w:hAnsi="仿宋" w:eastAsia="仿宋" w:cs="仿宋"/>
          <w:kern w:val="0"/>
          <w:sz w:val="30"/>
          <w:szCs w:val="30"/>
          <w:lang w:val="en-US" w:eastAsia="zh-CN"/>
        </w:rPr>
        <w:t>文化旅游体育与传媒支出55万元；社会保障和就业支出265.11万元；卫生健康支出1万元；城乡社区支出21.29万元；农林水支出12.02万元；住房保障支出2.4万元。</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项目预算编制合理，充分的预计项目支出并完整反应，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单位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（一）绩效评价实施过程情况</w:t>
      </w:r>
    </w:p>
    <w:p>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采用“4E”评价法及平衡记分法，从经济性、效率性、效益性、公平性、群众满意度进行政府绩效评价。通过对比年末预决算数据来评估经济性、效益性、公平性，在日常工作中收集群众反馈问题及投诉来评估群众满意度，更加全面、细致的完成部门整体评价。</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（二）绩效评价整体结果概况</w:t>
      </w:r>
    </w:p>
    <w:p>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2021年初预算数为2423.31万元，2021年决算数2250.81万元，执行率为93%。三公经费31.1万元，执行率为55％，控制在预算内。</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hint="eastAsia" w:ascii="仿宋" w:hAnsi="仿宋" w:eastAsia="仿宋" w:cs="仿宋"/>
          <w:kern w:val="0"/>
          <w:sz w:val="30"/>
          <w:szCs w:val="30"/>
          <w:lang w:val="en-US" w:eastAsia="zh-CN"/>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w:t>
      </w:r>
      <w:r>
        <w:rPr>
          <w:rFonts w:hint="eastAsia" w:ascii="仿宋" w:hAnsi="仿宋" w:eastAsia="仿宋" w:cs="仿宋"/>
          <w:kern w:val="0"/>
          <w:sz w:val="30"/>
          <w:szCs w:val="30"/>
          <w:lang w:val="en-US" w:eastAsia="zh-CN"/>
        </w:rPr>
        <w:t>投入情况分析，</w:t>
      </w:r>
    </w:p>
    <w:p>
      <w:pPr>
        <w:numPr>
          <w:ilvl w:val="0"/>
          <w:numId w:val="0"/>
        </w:numPr>
        <w:adjustRightInd w:val="0"/>
        <w:snapToGrid w:val="0"/>
        <w:spacing w:line="540" w:lineRule="atLeast"/>
        <w:ind w:leftChars="200"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按时完成2021年预算编制及公开，预算收入2423.31万元，较上年增加322.32万元，预算支出2423.31万元。全年目标有1：贯彻执行规划建设，基础设施建设，稳定和完善农村基本经营管理全面实施下政府各项决策部署，确保各项工作目标任务圆满完成。2 ：计划完成公务车辆运行费支出预算金额的100%。3：计划完成公务接待支出预算金额的100% 。4：计划完成基本支出预算金额的100%。所有目标均根据往年部门整体绩效及政府日常工作设立。</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（二）执行管理情况分析</w:t>
      </w:r>
    </w:p>
    <w:p>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2021年决算支出为2301.79万元，执行率为95%。2021年决算数较2020年有所上升，主要疫情防控、人居环境整治等方面支出增加。</w:t>
      </w:r>
    </w:p>
    <w:p>
      <w:pPr>
        <w:adjustRightInd w:val="0"/>
        <w:snapToGrid w:val="0"/>
        <w:spacing w:line="54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（三）支出绩效情况分析</w:t>
      </w:r>
    </w:p>
    <w:p>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2021年决算支出为2301.79万元，其中基本支出为1969.6万元，其他建设项目支出332.19万元，贯彻执行规划建设，基础设施建设，稳定和完善农村基本经营管理全面实施下政府各项决策部署，确保各项工作目标任务圆满完成。</w:t>
      </w:r>
    </w:p>
    <w:p>
      <w:p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default" w:ascii="仿宋_GB2312" w:hAnsi="仿宋_GB2312" w:eastAsia="仿宋_GB2312" w:cs="仿宋_GB2312"/>
          <w:b/>
          <w:sz w:val="28"/>
          <w:szCs w:val="28"/>
          <w:lang w:val="en-US" w:eastAsia="zh-CN"/>
        </w:rPr>
      </w:pPr>
      <w:r>
        <w:rPr>
          <w:rFonts w:hint="eastAsia" w:ascii="仿宋" w:hAnsi="仿宋" w:eastAsia="仿宋" w:cs="仿宋"/>
          <w:kern w:val="0"/>
          <w:sz w:val="30"/>
          <w:szCs w:val="30"/>
          <w:lang w:val="en-US" w:eastAsia="zh-CN"/>
        </w:rPr>
        <w:t>存在的问题：1.预算编制工作有待细化。预算编制不够明确和细化，预算编制的合理性需要提高，预算执行力度还要进一步加强；2.公用经费控制有一定难度，基本为刚性支出。</w:t>
      </w:r>
    </w:p>
    <w:p>
      <w:pPr>
        <w:numPr>
          <w:ilvl w:val="0"/>
          <w:numId w:val="2"/>
        </w:num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numPr>
          <w:ilvl w:val="0"/>
          <w:numId w:val="0"/>
        </w:numPr>
        <w:adjustRightInd w:val="0"/>
        <w:snapToGrid w:val="0"/>
        <w:spacing w:line="540" w:lineRule="atLeast"/>
        <w:ind w:leftChars="200" w:firstLine="562" w:firstLineChars="200"/>
        <w:rPr>
          <w:rFonts w:hint="eastAsia" w:ascii="仿宋" w:hAnsi="仿宋" w:eastAsia="仿宋" w:cs="仿宋"/>
          <w:kern w:val="0"/>
          <w:sz w:val="30"/>
          <w:szCs w:val="30"/>
          <w:lang w:val="en-US" w:eastAsia="zh-CN"/>
        </w:rPr>
      </w:pPr>
      <w:r>
        <w:rPr>
          <w:rFonts w:hint="eastAsia" w:ascii="仿宋_GB2312" w:hAnsi="仿宋_GB2312" w:eastAsia="仿宋_GB2312" w:cs="仿宋_GB2312"/>
          <w:b/>
          <w:sz w:val="28"/>
          <w:szCs w:val="28"/>
          <w:lang w:val="en-US" w:eastAsia="zh-CN"/>
        </w:rPr>
        <w:t xml:space="preserve"> </w:t>
      </w:r>
      <w:r>
        <w:rPr>
          <w:rFonts w:hint="eastAsia" w:ascii="仿宋" w:hAnsi="仿宋" w:eastAsia="仿宋" w:cs="仿宋"/>
          <w:kern w:val="0"/>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0"/>
        </w:numPr>
        <w:adjustRightInd w:val="0"/>
        <w:snapToGrid w:val="0"/>
        <w:spacing w:line="540" w:lineRule="atLeast"/>
        <w:ind w:leftChars="200" w:firstLine="600" w:firstLineChars="200"/>
        <w:rPr>
          <w:rFonts w:hint="default" w:ascii="仿宋_GB2312" w:hAnsi="仿宋_GB2312" w:eastAsia="仿宋_GB2312" w:cs="仿宋_GB2312"/>
          <w:b/>
          <w:sz w:val="28"/>
          <w:szCs w:val="28"/>
          <w:lang w:val="en-US" w:eastAsia="zh-CN"/>
        </w:rPr>
      </w:pPr>
      <w:r>
        <w:rPr>
          <w:rFonts w:hint="eastAsia" w:ascii="仿宋" w:hAnsi="仿宋" w:eastAsia="仿宋" w:cs="仿宋"/>
          <w:kern w:val="0"/>
          <w:sz w:val="30"/>
          <w:szCs w:val="30"/>
          <w:lang w:val="en-US" w:eastAsia="zh-CN"/>
        </w:rPr>
        <w:t>2. 加强财务管理，严格财务审核。加强单位财务管理，健全单位财务管理制度体系，规范单位财务行为。在费用报账支付时，按照预算规定的费用项目和用途进行资金使用审核、列报支付、财务核算，杜绝超支现象的发生。</w:t>
      </w:r>
    </w:p>
    <w:p>
      <w:pPr>
        <w:adjustRightInd w:val="0"/>
        <w:snapToGrid w:val="0"/>
        <w:spacing w:line="540" w:lineRule="atLeast"/>
        <w:ind w:firstLine="643" w:firstLineChars="200"/>
        <w:rPr>
          <w:rFonts w:eastAsia="仿宋_GB2312"/>
          <w:sz w:val="32"/>
          <w:szCs w:val="32"/>
        </w:rPr>
      </w:pPr>
      <w:r>
        <w:rPr>
          <w:rFonts w:hint="eastAsia" w:ascii="仿宋_GB2312" w:hAnsi="仿宋_GB2312" w:eastAsia="仿宋_GB2312" w:cs="仿宋_GB2312"/>
          <w:b/>
          <w:sz w:val="32"/>
          <w:szCs w:val="32"/>
        </w:rPr>
        <w:t>六、其他需要说明的问题</w:t>
      </w:r>
    </w:p>
    <w:p>
      <w:pPr>
        <w:numPr>
          <w:ilvl w:val="0"/>
          <w:numId w:val="0"/>
        </w:numPr>
        <w:adjustRightInd w:val="0"/>
        <w:snapToGrid w:val="0"/>
        <w:spacing w:line="540" w:lineRule="atLeast"/>
        <w:ind w:firstLine="900" w:firstLineChars="3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无</w:t>
      </w:r>
    </w:p>
    <w:p>
      <w:pPr>
        <w:numPr>
          <w:ilvl w:val="0"/>
          <w:numId w:val="0"/>
        </w:numPr>
        <w:adjustRightInd w:val="0"/>
        <w:snapToGrid w:val="0"/>
        <w:spacing w:line="540" w:lineRule="atLeast"/>
        <w:ind w:firstLine="900" w:firstLineChars="3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w:t>
      </w:r>
    </w:p>
    <w:p>
      <w:pPr>
        <w:numPr>
          <w:ilvl w:val="0"/>
          <w:numId w:val="0"/>
        </w:numPr>
        <w:adjustRightInd w:val="0"/>
        <w:snapToGrid w:val="0"/>
        <w:spacing w:line="540" w:lineRule="atLeast"/>
        <w:ind w:firstLine="900" w:firstLineChars="300"/>
        <w:jc w:val="right"/>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辰溪县火马冲镇人民政府</w:t>
      </w:r>
    </w:p>
    <w:p>
      <w:pPr>
        <w:numPr>
          <w:ilvl w:val="0"/>
          <w:numId w:val="0"/>
        </w:numPr>
        <w:adjustRightInd w:val="0"/>
        <w:snapToGrid w:val="0"/>
        <w:spacing w:line="540" w:lineRule="atLeast"/>
        <w:ind w:firstLine="900" w:firstLineChars="300"/>
        <w:rPr>
          <w:rFonts w:hint="default"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 xml:space="preserve">                               2022年4月12日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MmZmZjJmZDkzZmJhZDBlY2U0MzBkOWI1M2RmMzcifQ=="/>
  </w:docVars>
  <w:rsids>
    <w:rsidRoot w:val="71A933E6"/>
    <w:rsid w:val="0707180A"/>
    <w:rsid w:val="0A862CF0"/>
    <w:rsid w:val="104F5AB9"/>
    <w:rsid w:val="13272725"/>
    <w:rsid w:val="15874EE2"/>
    <w:rsid w:val="1844012A"/>
    <w:rsid w:val="1AB41E66"/>
    <w:rsid w:val="229055EC"/>
    <w:rsid w:val="28AA222B"/>
    <w:rsid w:val="2BC70369"/>
    <w:rsid w:val="2F6F07C2"/>
    <w:rsid w:val="32C82C5D"/>
    <w:rsid w:val="33A144D4"/>
    <w:rsid w:val="37863F79"/>
    <w:rsid w:val="42CC7AC5"/>
    <w:rsid w:val="4BC86317"/>
    <w:rsid w:val="4D946E30"/>
    <w:rsid w:val="50774AE5"/>
    <w:rsid w:val="6D002651"/>
    <w:rsid w:val="71A933E6"/>
    <w:rsid w:val="72B127EA"/>
    <w:rsid w:val="76D27D14"/>
    <w:rsid w:val="78043C65"/>
    <w:rsid w:val="7D9C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2293</Words>
  <Characters>2504</Characters>
  <Lines>0</Lines>
  <Paragraphs>0</Paragraphs>
  <TotalTime>16</TotalTime>
  <ScaleCrop>false</ScaleCrop>
  <LinksUpToDate>false</LinksUpToDate>
  <CharactersWithSpaces>2586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执子之爪</dc:creator>
  <cp:lastModifiedBy>Administrator</cp:lastModifiedBy>
  <cp:lastPrinted>2022-04-13T13:23:00Z</cp:lastPrinted>
  <dcterms:modified xsi:type="dcterms:W3CDTF">2022-08-05T04:17:18Z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F01FE2DF1AFD4382A65B2A46AF4F4212</vt:lpwstr>
  </property>
</Properties>
</file>