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bCs/>
          <w:sz w:val="44"/>
          <w:szCs w:val="44"/>
        </w:rPr>
      </w:pPr>
      <w:r>
        <w:rPr>
          <w:rFonts w:hint="eastAsia" w:ascii="仿宋" w:hAnsi="仿宋" w:eastAsia="仿宋"/>
          <w:b/>
          <w:bCs/>
          <w:sz w:val="44"/>
          <w:szCs w:val="44"/>
          <w:lang w:eastAsia="zh-CN"/>
        </w:rPr>
        <w:t>火马冲镇人民政府决算</w:t>
      </w:r>
      <w:r>
        <w:rPr>
          <w:rFonts w:ascii="仿宋" w:hAnsi="仿宋" w:eastAsia="仿宋"/>
          <w:b/>
          <w:bCs/>
          <w:sz w:val="44"/>
          <w:szCs w:val="44"/>
        </w:rPr>
        <w:t>支出绩效评价</w:t>
      </w:r>
    </w:p>
    <w:p>
      <w:pPr>
        <w:spacing w:line="600" w:lineRule="exact"/>
        <w:jc w:val="center"/>
        <w:rPr>
          <w:rFonts w:ascii="仿宋" w:hAnsi="仿宋" w:eastAsia="仿宋"/>
          <w:b/>
          <w:bCs/>
          <w:sz w:val="44"/>
          <w:szCs w:val="44"/>
        </w:rPr>
      </w:pPr>
      <w:r>
        <w:rPr>
          <w:rFonts w:ascii="仿宋" w:hAnsi="仿宋" w:eastAsia="仿宋"/>
          <w:b/>
          <w:bCs/>
          <w:sz w:val="44"/>
          <w:szCs w:val="44"/>
        </w:rPr>
        <w:t>报告</w:t>
      </w:r>
    </w:p>
    <w:p>
      <w:pPr>
        <w:spacing w:line="600" w:lineRule="exact"/>
        <w:rPr>
          <w:rFonts w:hint="eastAsia" w:ascii="仿宋" w:hAnsi="仿宋" w:eastAsia="仿宋" w:cs="宋体"/>
          <w:sz w:val="32"/>
          <w:szCs w:val="32"/>
        </w:rPr>
      </w:pPr>
    </w:p>
    <w:p>
      <w:pPr>
        <w:spacing w:line="600" w:lineRule="exact"/>
        <w:rPr>
          <w:rFonts w:hint="eastAsia" w:ascii="仿宋" w:hAnsi="仿宋" w:eastAsia="仿宋" w:cs="宋体"/>
          <w:b/>
          <w:bCs/>
          <w:sz w:val="32"/>
          <w:szCs w:val="32"/>
        </w:rPr>
      </w:pPr>
      <w:r>
        <w:rPr>
          <w:rFonts w:hint="eastAsia" w:ascii="仿宋" w:hAnsi="仿宋" w:eastAsia="仿宋" w:cs="宋体"/>
          <w:b/>
          <w:bCs/>
          <w:sz w:val="32"/>
          <w:szCs w:val="32"/>
        </w:rPr>
        <w:t>一、决算支出概况</w:t>
      </w:r>
    </w:p>
    <w:p>
      <w:pPr>
        <w:spacing w:line="600" w:lineRule="exact"/>
        <w:rPr>
          <w:rFonts w:hint="eastAsia" w:ascii="仿宋" w:hAnsi="仿宋" w:eastAsia="仿宋" w:cs="宋体"/>
          <w:sz w:val="32"/>
          <w:szCs w:val="32"/>
        </w:rPr>
      </w:pPr>
      <w:r>
        <w:rPr>
          <w:rFonts w:hint="eastAsia" w:ascii="仿宋" w:hAnsi="仿宋" w:eastAsia="仿宋" w:cs="宋体"/>
          <w:sz w:val="32"/>
          <w:szCs w:val="32"/>
        </w:rPr>
        <w:t>（一）项目实施单位基本情况。</w:t>
      </w:r>
    </w:p>
    <w:p>
      <w:pPr>
        <w:widowControl/>
        <w:ind w:firstLine="640" w:firstLineChars="200"/>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1、执行本级人民代表大会决议以及上级国家行政机关的决定和命令；</w:t>
      </w:r>
    </w:p>
    <w:p>
      <w:pPr>
        <w:widowControl/>
        <w:ind w:firstLine="640" w:firstLineChars="200"/>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2、执行全镇的社会和经济发展计划、预算，管理本镇内的经济、教育、科技、文化、卫生、体育事业和财政、民政、治安、人民调解、安全生产监督管理、移民开发、计划生育等行政工作；</w:t>
      </w:r>
    </w:p>
    <w:p>
      <w:pPr>
        <w:widowControl/>
        <w:ind w:firstLine="640" w:firstLineChars="200"/>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3、保护社会主义的全民所有财产和劳动群众集体所有财产，保护公民私人所有的合法财产，维护社会秩序，保障公民的人身权利、民主权利和其他权利；</w:t>
      </w:r>
    </w:p>
    <w:p>
      <w:pPr>
        <w:widowControl/>
        <w:ind w:firstLine="640" w:firstLineChars="200"/>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4、保护各种经济组织的合法权益；</w:t>
      </w:r>
    </w:p>
    <w:p>
      <w:pPr>
        <w:widowControl/>
        <w:ind w:firstLine="640" w:firstLineChars="200"/>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5、贯彻执行党和国家的民族宗教政策，保障少数民族的权利和尊重少数民族的风俗习惯，尊重民族宗教信仰；</w:t>
      </w:r>
    </w:p>
    <w:p>
      <w:pPr>
        <w:widowControl/>
        <w:ind w:firstLine="640" w:firstLineChars="200"/>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6、保障宪法和法律赋予妇女的男女平等、婚姻自由等各项权利；</w:t>
      </w:r>
    </w:p>
    <w:p>
      <w:pPr>
        <w:widowControl/>
        <w:ind w:firstLine="640" w:firstLineChars="200"/>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7、办理上级人民政府交办的其他事项。</w:t>
      </w:r>
    </w:p>
    <w:p>
      <w:pPr>
        <w:spacing w:line="600" w:lineRule="exact"/>
        <w:rPr>
          <w:rFonts w:hint="eastAsia" w:ascii="仿宋" w:hAnsi="仿宋" w:eastAsia="仿宋" w:cs="宋体"/>
          <w:sz w:val="32"/>
          <w:szCs w:val="32"/>
        </w:rPr>
      </w:pPr>
      <w:r>
        <w:rPr>
          <w:rFonts w:hint="eastAsia" w:ascii="仿宋" w:hAnsi="仿宋" w:eastAsia="仿宋" w:cs="宋体"/>
          <w:sz w:val="32"/>
          <w:szCs w:val="32"/>
        </w:rPr>
        <w:t>（二）机构及人员情况</w:t>
      </w:r>
    </w:p>
    <w:p>
      <w:pPr>
        <w:widowControl/>
        <w:ind w:firstLine="640" w:firstLineChars="200"/>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火马冲镇人民政府下设：1、党政办公室：协助镇领导处理日常事务；协调镇机关各办、镇属各部门关系；负责文秘、档案、计划、统计、信息、信访、保卫、保密、会务和机关事务后勤保障等工作；组织草拟综合性报告、政策性文件；组织制订和监督实施机关内部各项规章制度；做好机关内部纪检、监察、组织、从事、宣传、统战、武装、工会、团委、妇联和人大、村两委等工作；承办镇党委、政府和上级主管部门交办的其他事项。</w:t>
      </w:r>
    </w:p>
    <w:p>
      <w:pPr>
        <w:widowControl/>
        <w:ind w:firstLine="640" w:firstLineChars="200"/>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2、党建办公室：按照干部管理权限，组织实施对干部的教育、培训、考核、奖惩、任免、后备干部的培养选拔和党员发展教育等工作；负责本单位干部职工心理健康关爱工作；承担基层党的政治建设、组织工作、宣传工作、统战工作、党风廉政建设和反腐败工作、党建带群团建设等。</w:t>
      </w:r>
    </w:p>
    <w:p>
      <w:pPr>
        <w:widowControl/>
        <w:ind w:firstLine="640" w:firstLineChars="200"/>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3、经济发展办公室：负责工业化和农牧业产业化工作，促进农村牧区经济发展；负责项目策划和建设，落实国家重点投资项目，积极开展招商引资工作，大力引进资金、人才、设备、技术；负责改善和优化经济环境，协调投资合作者在合法权益保护、中介服务、投诉、调解等方面工作；负责小城镇建设和村级规划建设工作；协调有关部门为当地经济发展提供经济技术、信息咨询等服务等。</w:t>
      </w:r>
    </w:p>
    <w:p>
      <w:pPr>
        <w:widowControl/>
        <w:ind w:firstLine="640" w:firstLineChars="200"/>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4、社会事务办公室：协调有关部门为当地经济发展提供经济技术、信息咨询等服务；协调有关部门为当地经济发展提供经济技术、信息咨询等服务；协调有关部门为当地经济发展提供经济技术、信息咨询等服务；协调有关部门为当地经济发展提供经济技术、信息咨询等服务；协调有关部门为当地经济发展提供经济技术、信息咨询等。</w:t>
      </w:r>
    </w:p>
    <w:p>
      <w:pPr>
        <w:widowControl/>
        <w:ind w:firstLine="640" w:firstLineChars="200"/>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5、社会治安和应急管理办公室：加强本辖区生产经营单位安全生产状况的监督检查，协助上级有关部门依法履行安全生产监督管理职责依法做好本辖区突发事件应对工作，制定本级突发事件应急预案，组织开展应急演练；负责辖区应急管理工作，建立健全应急联动机制，严格落实应急管理责任，加强基层综合应急队伍建设和应急保障能力建设；负责本辖区的消防工作，开展消防宣传、防火巡查、隐患查改；负责辖区防汛抗洪、抗旱、防灾减灾等相关工作；照职责分工和相关预案开展突发环境事件应急处置工作，按照有关规定向上级报告；负责本辖区内自然灾害救助工作，做好自然灾害风险排查、隐患治理、救助准备、信息报告、先期处置、应急救助、灾后救助和救助款物管理等。</w:t>
      </w:r>
    </w:p>
    <w:p>
      <w:pPr>
        <w:widowControl/>
        <w:ind w:firstLine="640" w:firstLineChars="200"/>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6、自然资源和生态环境办公室：负责本辖区乡道、村道建设管理工作，负责乡村道路交通安全监督管理工作；按权限做好本辖区内的节约用水工作；负责本区域范围内的村镇规划建设管理工作；按照职责分工依法履行土壤污染防治和安全利用职责；按照责任分工负责本辖区河湖水资源保护、水污染防治、水环境治理等工作；落实属地监管责任，组织开展扬尘污染防治工作；按照职责分工做好“散乱污”企业综合整治工作；负责辖区内农村土地承包管理工作；按权限落实好农村重点改革任务等。</w:t>
      </w:r>
    </w:p>
    <w:p>
      <w:pPr>
        <w:spacing w:line="600" w:lineRule="exact"/>
        <w:rPr>
          <w:rFonts w:hint="eastAsia" w:ascii="仿宋" w:hAnsi="仿宋" w:eastAsia="仿宋" w:cs="宋体"/>
          <w:sz w:val="32"/>
          <w:szCs w:val="32"/>
        </w:rPr>
      </w:pPr>
      <w:r>
        <w:rPr>
          <w:rFonts w:hint="eastAsia" w:ascii="仿宋" w:hAnsi="仿宋" w:eastAsia="仿宋" w:cs="宋体"/>
          <w:sz w:val="32"/>
          <w:szCs w:val="32"/>
        </w:rPr>
        <w:t>（</w:t>
      </w:r>
      <w:r>
        <w:rPr>
          <w:rFonts w:hint="eastAsia" w:ascii="仿宋" w:hAnsi="仿宋" w:eastAsia="仿宋" w:cs="宋体"/>
          <w:sz w:val="32"/>
          <w:szCs w:val="32"/>
          <w:lang w:eastAsia="zh-CN"/>
        </w:rPr>
        <w:t>三</w:t>
      </w:r>
      <w:r>
        <w:rPr>
          <w:rFonts w:hint="eastAsia" w:ascii="仿宋" w:hAnsi="仿宋" w:eastAsia="仿宋" w:cs="宋体"/>
          <w:sz w:val="32"/>
          <w:szCs w:val="32"/>
        </w:rPr>
        <w:t>）决算资金基本情况。</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决算资金为保障单位机构正常运转、完成日常工作任务而发生的各项支出。主要内容、涉及范围：工资福利性支出、商品和服务支出、对个人和家庭补助支出、其他资本性支出、项目支出。     </w:t>
      </w:r>
    </w:p>
    <w:p>
      <w:pPr>
        <w:spacing w:line="600" w:lineRule="exact"/>
        <w:rPr>
          <w:rFonts w:hint="eastAsia" w:ascii="仿宋" w:hAnsi="仿宋" w:eastAsia="仿宋" w:cs="宋体"/>
          <w:sz w:val="32"/>
          <w:szCs w:val="32"/>
        </w:rPr>
      </w:pPr>
      <w:r>
        <w:rPr>
          <w:rFonts w:hint="eastAsia" w:ascii="仿宋" w:hAnsi="仿宋" w:eastAsia="仿宋" w:cs="宋体"/>
          <w:sz w:val="32"/>
          <w:szCs w:val="32"/>
        </w:rPr>
        <w:t>（</w:t>
      </w:r>
      <w:r>
        <w:rPr>
          <w:rFonts w:hint="eastAsia" w:ascii="仿宋" w:hAnsi="仿宋" w:eastAsia="仿宋" w:cs="宋体"/>
          <w:sz w:val="32"/>
          <w:szCs w:val="32"/>
          <w:lang w:eastAsia="zh-CN"/>
        </w:rPr>
        <w:t>四</w:t>
      </w:r>
      <w:r>
        <w:rPr>
          <w:rFonts w:hint="eastAsia" w:ascii="仿宋" w:hAnsi="仿宋" w:eastAsia="仿宋" w:cs="宋体"/>
          <w:sz w:val="32"/>
          <w:szCs w:val="32"/>
        </w:rPr>
        <w:t>）决算资金绩效目标，包括总体目标和年度目标。</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总体目标：推动</w:t>
      </w:r>
      <w:r>
        <w:rPr>
          <w:rFonts w:hint="eastAsia" w:ascii="仿宋" w:hAnsi="仿宋" w:eastAsia="仿宋" w:cs="宋体"/>
          <w:sz w:val="32"/>
          <w:szCs w:val="32"/>
          <w:lang w:eastAsia="zh-CN"/>
        </w:rPr>
        <w:t>火马冲镇镇内经济、人文、治安等</w:t>
      </w:r>
      <w:r>
        <w:rPr>
          <w:rFonts w:hint="eastAsia" w:ascii="仿宋" w:hAnsi="仿宋" w:eastAsia="仿宋" w:cs="宋体"/>
          <w:sz w:val="32"/>
          <w:szCs w:val="32"/>
        </w:rPr>
        <w:t>发展。</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年度目标：保障单位正常运行、完善基础设施建设、完成税收任务、服务企业及推动企业发展壮大。</w:t>
      </w:r>
    </w:p>
    <w:p>
      <w:pPr>
        <w:spacing w:line="600" w:lineRule="exact"/>
        <w:rPr>
          <w:rFonts w:hint="eastAsia" w:ascii="仿宋" w:hAnsi="仿宋" w:eastAsia="仿宋" w:cs="宋体"/>
          <w:b/>
          <w:bCs/>
          <w:sz w:val="32"/>
          <w:szCs w:val="32"/>
        </w:rPr>
      </w:pPr>
      <w:r>
        <w:rPr>
          <w:rFonts w:hint="eastAsia" w:ascii="仿宋" w:hAnsi="仿宋" w:eastAsia="仿宋" w:cs="宋体"/>
          <w:b/>
          <w:bCs/>
          <w:sz w:val="32"/>
          <w:szCs w:val="32"/>
        </w:rPr>
        <w:t>二、决算资金使用及管理情况</w:t>
      </w:r>
    </w:p>
    <w:p>
      <w:pPr>
        <w:spacing w:line="600" w:lineRule="exact"/>
        <w:rPr>
          <w:rFonts w:hint="eastAsia" w:ascii="仿宋" w:hAnsi="仿宋" w:eastAsia="仿宋" w:cs="宋体"/>
          <w:sz w:val="32"/>
          <w:szCs w:val="32"/>
        </w:rPr>
      </w:pPr>
      <w:r>
        <w:rPr>
          <w:rFonts w:hint="eastAsia" w:ascii="仿宋" w:hAnsi="仿宋" w:eastAsia="仿宋" w:cs="宋体"/>
          <w:sz w:val="32"/>
          <w:szCs w:val="32"/>
        </w:rPr>
        <w:t>（一）决算资金及自筹资金的安排落实、总投入等情况。</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20</w:t>
      </w:r>
      <w:r>
        <w:rPr>
          <w:rFonts w:hint="eastAsia" w:ascii="仿宋" w:hAnsi="仿宋" w:eastAsia="仿宋" w:cs="宋体"/>
          <w:sz w:val="32"/>
          <w:szCs w:val="32"/>
          <w:lang w:val="en-US" w:eastAsia="zh-CN"/>
        </w:rPr>
        <w:t>20</w:t>
      </w:r>
      <w:r>
        <w:rPr>
          <w:rFonts w:hint="eastAsia" w:ascii="仿宋" w:hAnsi="仿宋" w:eastAsia="仿宋" w:cs="宋体"/>
          <w:sz w:val="32"/>
          <w:szCs w:val="32"/>
        </w:rPr>
        <w:t>年</w:t>
      </w:r>
      <w:r>
        <w:rPr>
          <w:rFonts w:hint="eastAsia" w:ascii="仿宋" w:hAnsi="仿宋" w:eastAsia="仿宋" w:cs="宋体"/>
          <w:sz w:val="32"/>
          <w:szCs w:val="32"/>
          <w:lang w:eastAsia="zh-CN"/>
        </w:rPr>
        <w:t>火马冲镇</w:t>
      </w:r>
      <w:r>
        <w:rPr>
          <w:rFonts w:hint="eastAsia" w:ascii="仿宋" w:hAnsi="仿宋" w:eastAsia="仿宋" w:cs="宋体"/>
          <w:sz w:val="32"/>
          <w:szCs w:val="32"/>
        </w:rPr>
        <w:t>收入决算总额为</w:t>
      </w:r>
      <w:r>
        <w:rPr>
          <w:rFonts w:hint="eastAsia" w:asciiTheme="minorEastAsia" w:hAnsiTheme="minorEastAsia" w:eastAsiaTheme="minorEastAsia"/>
          <w:sz w:val="32"/>
          <w:szCs w:val="32"/>
          <w:lang w:val="en-US" w:eastAsia="zh-CN"/>
        </w:rPr>
        <w:t>2246.85</w:t>
      </w:r>
      <w:r>
        <w:rPr>
          <w:rFonts w:hint="eastAsia" w:ascii="仿宋" w:hAnsi="仿宋" w:eastAsia="仿宋" w:cs="宋体"/>
          <w:sz w:val="32"/>
          <w:szCs w:val="32"/>
        </w:rPr>
        <w:t>万元，其中：当年财政拨款收入</w:t>
      </w:r>
      <w:r>
        <w:rPr>
          <w:rFonts w:hint="eastAsia" w:asciiTheme="minorEastAsia" w:hAnsiTheme="minorEastAsia" w:eastAsiaTheme="minorEastAsia"/>
          <w:sz w:val="32"/>
          <w:szCs w:val="32"/>
          <w:lang w:val="en-US" w:eastAsia="zh-CN"/>
        </w:rPr>
        <w:t>2246.85</w:t>
      </w:r>
      <w:r>
        <w:rPr>
          <w:rFonts w:hint="eastAsia" w:ascii="仿宋" w:hAnsi="仿宋" w:eastAsia="仿宋" w:cs="宋体"/>
          <w:sz w:val="32"/>
          <w:szCs w:val="32"/>
        </w:rPr>
        <w:t>万元。相应安排支出决算</w:t>
      </w:r>
      <w:r>
        <w:rPr>
          <w:rFonts w:hint="eastAsia" w:asciiTheme="minorEastAsia" w:hAnsiTheme="minorEastAsia" w:eastAsiaTheme="minorEastAsia"/>
          <w:sz w:val="32"/>
          <w:szCs w:val="32"/>
          <w:lang w:val="en-US" w:eastAsia="zh-CN"/>
        </w:rPr>
        <w:t>2139.15</w:t>
      </w:r>
      <w:r>
        <w:rPr>
          <w:rFonts w:hint="eastAsia" w:ascii="仿宋" w:hAnsi="仿宋" w:eastAsia="仿宋" w:cs="宋体"/>
          <w:sz w:val="32"/>
          <w:szCs w:val="32"/>
        </w:rPr>
        <w:t>万元，其中：基本支出</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lang w:val="en-US" w:eastAsia="zh-CN"/>
        </w:rPr>
        <w:t>1809.31</w:t>
      </w:r>
      <w:r>
        <w:rPr>
          <w:rFonts w:hint="eastAsia" w:ascii="仿宋" w:hAnsi="仿宋" w:eastAsia="仿宋" w:cs="宋体"/>
          <w:sz w:val="32"/>
          <w:szCs w:val="32"/>
        </w:rPr>
        <w:t>万元，项目支出</w:t>
      </w:r>
      <w:r>
        <w:rPr>
          <w:rFonts w:hint="eastAsia" w:asciiTheme="minorEastAsia" w:hAnsiTheme="minorEastAsia" w:eastAsiaTheme="minorEastAsia"/>
          <w:sz w:val="32"/>
          <w:szCs w:val="32"/>
          <w:lang w:val="en-US" w:eastAsia="zh-CN"/>
        </w:rPr>
        <w:t>329.84</w:t>
      </w:r>
      <w:r>
        <w:rPr>
          <w:rFonts w:hint="eastAsia" w:ascii="仿宋" w:hAnsi="仿宋" w:eastAsia="仿宋" w:cs="宋体"/>
          <w:sz w:val="32"/>
          <w:szCs w:val="32"/>
        </w:rPr>
        <w:t>万元。</w:t>
      </w:r>
    </w:p>
    <w:p>
      <w:pPr>
        <w:spacing w:line="600" w:lineRule="exact"/>
        <w:rPr>
          <w:rFonts w:hint="eastAsia" w:ascii="仿宋" w:hAnsi="仿宋" w:eastAsia="仿宋" w:cs="宋体"/>
          <w:sz w:val="32"/>
          <w:szCs w:val="32"/>
        </w:rPr>
      </w:pPr>
      <w:r>
        <w:rPr>
          <w:rFonts w:hint="eastAsia" w:ascii="仿宋" w:hAnsi="仿宋" w:eastAsia="仿宋" w:cs="宋体"/>
          <w:sz w:val="32"/>
          <w:szCs w:val="32"/>
        </w:rPr>
        <w:t>（二）决算资金实际使用情况。</w:t>
      </w:r>
    </w:p>
    <w:p>
      <w:pPr>
        <w:pStyle w:val="5"/>
        <w:ind w:firstLine="640" w:firstLineChars="200"/>
        <w:rPr>
          <w:rFonts w:hint="eastAsia" w:ascii="仿宋" w:hAnsi="仿宋" w:eastAsia="仿宋" w:cs="宋体"/>
          <w:sz w:val="32"/>
          <w:szCs w:val="32"/>
        </w:rPr>
      </w:pPr>
      <w:r>
        <w:rPr>
          <w:rFonts w:hint="eastAsia" w:ascii="仿宋" w:hAnsi="仿宋" w:eastAsia="仿宋" w:cs="宋体"/>
          <w:sz w:val="32"/>
          <w:szCs w:val="32"/>
        </w:rPr>
        <w:t>20</w:t>
      </w:r>
      <w:r>
        <w:rPr>
          <w:rFonts w:hint="eastAsia" w:ascii="仿宋" w:hAnsi="仿宋" w:eastAsia="仿宋" w:cs="宋体"/>
          <w:sz w:val="32"/>
          <w:szCs w:val="32"/>
          <w:lang w:val="en-US" w:eastAsia="zh-CN"/>
        </w:rPr>
        <w:t>20</w:t>
      </w:r>
      <w:r>
        <w:rPr>
          <w:rFonts w:hint="eastAsia" w:ascii="仿宋" w:hAnsi="仿宋" w:eastAsia="仿宋" w:cs="宋体"/>
          <w:sz w:val="32"/>
          <w:szCs w:val="32"/>
        </w:rPr>
        <w:t>年度财政拨款基本支出</w:t>
      </w:r>
      <w:r>
        <w:rPr>
          <w:rFonts w:hint="eastAsia" w:asciiTheme="minorEastAsia" w:hAnsiTheme="minorEastAsia" w:eastAsiaTheme="minorEastAsia"/>
          <w:sz w:val="32"/>
          <w:szCs w:val="32"/>
          <w:lang w:val="en-US" w:eastAsia="zh-CN"/>
        </w:rPr>
        <w:t>1809.3</w:t>
      </w:r>
      <w:r>
        <w:rPr>
          <w:rFonts w:hint="eastAsia" w:ascii="仿宋" w:hAnsi="仿宋" w:eastAsia="仿宋" w:cs="宋体"/>
          <w:sz w:val="32"/>
          <w:szCs w:val="32"/>
        </w:rPr>
        <w:t>万元，其中:人员经费</w:t>
      </w:r>
      <w:r>
        <w:rPr>
          <w:rFonts w:hint="eastAsia" w:asciiTheme="minorEastAsia" w:hAnsiTheme="minorEastAsia" w:eastAsiaTheme="minorEastAsia"/>
          <w:sz w:val="32"/>
          <w:szCs w:val="32"/>
          <w:lang w:val="en-US" w:eastAsia="zh-CN"/>
        </w:rPr>
        <w:t>1475.7</w:t>
      </w:r>
      <w:r>
        <w:rPr>
          <w:rFonts w:hint="eastAsia" w:ascii="仿宋" w:hAnsi="仿宋" w:eastAsia="仿宋" w:cs="宋体"/>
          <w:sz w:val="32"/>
          <w:szCs w:val="32"/>
        </w:rPr>
        <w:t>万元，主</w:t>
      </w:r>
      <w:r>
        <w:rPr>
          <w:rFonts w:hint="eastAsia" w:ascii="仿宋" w:hAnsi="仿宋" w:eastAsia="仿宋" w:cs="仿宋"/>
          <w:sz w:val="32"/>
          <w:szCs w:val="32"/>
        </w:rPr>
        <w:t xml:space="preserve">要包括基本工资、津贴补贴、奖金、伙食补助费 </w:t>
      </w:r>
      <w:r>
        <w:rPr>
          <w:rFonts w:hint="eastAsia" w:ascii="仿宋" w:hAnsi="仿宋" w:eastAsia="仿宋" w:cs="仿宋"/>
          <w:sz w:val="32"/>
          <w:szCs w:val="32"/>
          <w:lang w:eastAsia="zh-CN"/>
        </w:rPr>
        <w:t>、</w:t>
      </w:r>
      <w:r>
        <w:rPr>
          <w:rFonts w:hint="eastAsia" w:ascii="仿宋" w:hAnsi="仿宋" w:eastAsia="仿宋" w:cs="仿宋"/>
          <w:sz w:val="32"/>
          <w:szCs w:val="32"/>
        </w:rPr>
        <w:t>绩效工资</w:t>
      </w:r>
      <w:r>
        <w:rPr>
          <w:rFonts w:hint="eastAsia" w:ascii="仿宋" w:hAnsi="仿宋" w:eastAsia="仿宋" w:cs="仿宋"/>
          <w:sz w:val="32"/>
          <w:szCs w:val="32"/>
          <w:lang w:eastAsia="zh-CN"/>
        </w:rPr>
        <w:t>、机关事业单位基本养老保险缴费、 职业年金缴费、职工基本医疗保险缴费、公务员医疗补助缴费、其他社会保障缴费、住房公积金、其他工资福利支出、抚恤金、生活补助、奖励金、个人农业生产补贴、其他对个人和家庭的补助</w:t>
      </w:r>
      <w:r>
        <w:rPr>
          <w:rFonts w:hint="eastAsia" w:ascii="仿宋" w:hAnsi="仿宋" w:eastAsia="仿宋" w:cs="仿宋"/>
          <w:sz w:val="32"/>
          <w:szCs w:val="32"/>
        </w:rPr>
        <w:t>；公</w:t>
      </w:r>
      <w:r>
        <w:rPr>
          <w:rFonts w:hint="eastAsia" w:ascii="仿宋" w:hAnsi="仿宋" w:eastAsia="仿宋" w:cs="宋体"/>
          <w:sz w:val="32"/>
          <w:szCs w:val="32"/>
        </w:rPr>
        <w:t>用经</w:t>
      </w:r>
      <w:r>
        <w:rPr>
          <w:rFonts w:hint="eastAsia" w:ascii="仿宋" w:hAnsi="仿宋" w:eastAsia="仿宋" w:cs="仿宋"/>
          <w:sz w:val="32"/>
          <w:szCs w:val="32"/>
        </w:rPr>
        <w:t>费</w:t>
      </w:r>
      <w:r>
        <w:rPr>
          <w:rFonts w:hint="eastAsia" w:ascii="仿宋" w:hAnsi="仿宋" w:eastAsia="仿宋" w:cs="仿宋"/>
          <w:sz w:val="32"/>
          <w:szCs w:val="32"/>
          <w:lang w:val="en-US" w:eastAsia="zh-CN"/>
        </w:rPr>
        <w:t>333.6</w:t>
      </w:r>
      <w:r>
        <w:rPr>
          <w:rFonts w:hint="eastAsia" w:ascii="仿宋" w:hAnsi="仿宋" w:eastAsia="仿宋" w:cs="仿宋"/>
          <w:sz w:val="32"/>
          <w:szCs w:val="32"/>
        </w:rPr>
        <w:t>万元，主要包括办公费、印刷费、水费</w:t>
      </w:r>
      <w:r>
        <w:rPr>
          <w:rFonts w:hint="eastAsia" w:ascii="仿宋" w:hAnsi="仿宋" w:eastAsia="仿宋" w:cs="仿宋"/>
          <w:sz w:val="32"/>
          <w:szCs w:val="32"/>
          <w:lang w:eastAsia="zh-CN"/>
        </w:rPr>
        <w:t>、电费、取暖费、差旅费、维修（护）费、租赁费、会议费、 培训费、公务接待费、专用材料费、劳务费、工会经费、公务用车运行维护费、其他交通费用、其他商品和服务支出</w:t>
      </w:r>
      <w:r>
        <w:rPr>
          <w:rFonts w:hint="eastAsia" w:ascii="仿宋" w:hAnsi="仿宋" w:eastAsia="仿宋" w:cs="宋体"/>
          <w:sz w:val="32"/>
          <w:szCs w:val="32"/>
        </w:rPr>
        <w:t>;项目支出</w:t>
      </w:r>
      <w:r>
        <w:rPr>
          <w:rFonts w:hint="eastAsia" w:asciiTheme="minorEastAsia" w:hAnsiTheme="minorEastAsia" w:eastAsiaTheme="minorEastAsia"/>
          <w:sz w:val="32"/>
          <w:szCs w:val="32"/>
          <w:lang w:val="en-US" w:eastAsia="zh-CN"/>
        </w:rPr>
        <w:t>329.84</w:t>
      </w:r>
      <w:r>
        <w:rPr>
          <w:rFonts w:hint="eastAsia" w:ascii="仿宋" w:hAnsi="仿宋" w:eastAsia="仿宋" w:cs="宋体"/>
          <w:sz w:val="32"/>
          <w:szCs w:val="32"/>
        </w:rPr>
        <w:t>万元，主要包括基础设施建设支出。</w:t>
      </w:r>
    </w:p>
    <w:p>
      <w:pPr>
        <w:spacing w:line="600" w:lineRule="exact"/>
        <w:rPr>
          <w:rFonts w:hint="eastAsia" w:ascii="仿宋" w:hAnsi="仿宋" w:eastAsia="仿宋" w:cs="宋体"/>
          <w:sz w:val="32"/>
          <w:szCs w:val="32"/>
        </w:rPr>
      </w:pPr>
      <w:r>
        <w:rPr>
          <w:rFonts w:hint="eastAsia" w:ascii="仿宋" w:hAnsi="仿宋" w:eastAsia="仿宋" w:cs="宋体"/>
          <w:sz w:val="32"/>
          <w:szCs w:val="32"/>
        </w:rPr>
        <w:t>（三）决算资金管理情况。</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在财务管理方面，严格执行各项财务管理制度，强化资金管理和使用。通过加强收支管理，不断健全《</w:t>
      </w:r>
      <w:r>
        <w:rPr>
          <w:rFonts w:hint="eastAsia" w:ascii="仿宋" w:hAnsi="仿宋" w:eastAsia="仿宋" w:cs="宋体"/>
          <w:sz w:val="32"/>
          <w:szCs w:val="32"/>
          <w:lang w:eastAsia="zh-CN"/>
        </w:rPr>
        <w:t>火马冲镇人民政府</w:t>
      </w:r>
      <w:r>
        <w:rPr>
          <w:rFonts w:hint="eastAsia" w:ascii="仿宋" w:hAnsi="仿宋" w:eastAsia="仿宋" w:cs="宋体"/>
          <w:sz w:val="32"/>
          <w:szCs w:val="32"/>
        </w:rPr>
        <w:t>内部控制制度》，梳理内部管理流程，管好用好每笔资金，杜绝违规违法事件的发生。财务活动接受审计、财政监督、纪检监察等部门的监督检查。</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认真编制决</w:t>
      </w:r>
      <w:r>
        <w:rPr>
          <w:rFonts w:hint="eastAsia" w:ascii="仿宋" w:hAnsi="仿宋" w:eastAsia="仿宋" w:cs="宋体"/>
          <w:sz w:val="32"/>
          <w:szCs w:val="32"/>
          <w:lang w:eastAsia="zh-CN"/>
        </w:rPr>
        <w:t>算</w:t>
      </w:r>
      <w:r>
        <w:rPr>
          <w:rFonts w:hint="eastAsia" w:ascii="仿宋" w:hAnsi="仿宋" w:eastAsia="仿宋" w:cs="宋体"/>
          <w:sz w:val="32"/>
          <w:szCs w:val="32"/>
        </w:rPr>
        <w:t>，在编制决算报表过程中，严格按照政府收支分类科目和财务报表支出情况编制部门决算，决算收入、支出口径与财政局国库股、预算股和政法股以及财政大平台核对无误，报表编制无差错，全面、真实、准确地反映了</w:t>
      </w:r>
      <w:r>
        <w:rPr>
          <w:rFonts w:hint="eastAsia" w:ascii="仿宋" w:hAnsi="仿宋" w:eastAsia="仿宋" w:cs="宋体"/>
          <w:sz w:val="32"/>
          <w:szCs w:val="32"/>
          <w:lang w:eastAsia="zh-CN"/>
        </w:rPr>
        <w:t>火马冲镇人民政府</w:t>
      </w:r>
      <w:r>
        <w:rPr>
          <w:rFonts w:hint="eastAsia" w:ascii="仿宋" w:hAnsi="仿宋" w:eastAsia="仿宋" w:cs="宋体"/>
          <w:sz w:val="32"/>
          <w:szCs w:val="32"/>
        </w:rPr>
        <w:t>20</w:t>
      </w:r>
      <w:r>
        <w:rPr>
          <w:rFonts w:hint="eastAsia" w:ascii="仿宋" w:hAnsi="仿宋" w:eastAsia="仿宋" w:cs="宋体"/>
          <w:sz w:val="32"/>
          <w:szCs w:val="32"/>
          <w:lang w:val="en-US" w:eastAsia="zh-CN"/>
        </w:rPr>
        <w:t>20</w:t>
      </w:r>
      <w:r>
        <w:rPr>
          <w:rFonts w:hint="eastAsia" w:ascii="仿宋" w:hAnsi="仿宋" w:eastAsia="仿宋" w:cs="宋体"/>
          <w:sz w:val="32"/>
          <w:szCs w:val="32"/>
        </w:rPr>
        <w:t>年度财政资金的使用情况。</w:t>
      </w:r>
    </w:p>
    <w:p>
      <w:pPr>
        <w:spacing w:line="600" w:lineRule="exact"/>
        <w:rPr>
          <w:rFonts w:hint="eastAsia" w:ascii="仿宋" w:hAnsi="仿宋" w:eastAsia="仿宋" w:cs="宋体"/>
          <w:sz w:val="32"/>
          <w:szCs w:val="32"/>
        </w:rPr>
      </w:pPr>
      <w:r>
        <w:rPr>
          <w:rFonts w:hint="eastAsia" w:ascii="仿宋" w:hAnsi="仿宋" w:eastAsia="仿宋" w:cs="宋体"/>
          <w:b/>
          <w:bCs/>
          <w:sz w:val="32"/>
          <w:szCs w:val="32"/>
        </w:rPr>
        <w:t>三、决算支出组织实施情况</w:t>
      </w:r>
    </w:p>
    <w:p>
      <w:pPr>
        <w:spacing w:line="600" w:lineRule="exact"/>
        <w:rPr>
          <w:rFonts w:hint="eastAsia" w:ascii="仿宋" w:hAnsi="仿宋" w:eastAsia="仿宋" w:cs="宋体"/>
          <w:sz w:val="32"/>
          <w:szCs w:val="32"/>
        </w:rPr>
      </w:pPr>
      <w:r>
        <w:rPr>
          <w:rFonts w:hint="eastAsia" w:ascii="仿宋" w:hAnsi="仿宋" w:eastAsia="仿宋" w:cs="宋体"/>
          <w:sz w:val="32"/>
          <w:szCs w:val="32"/>
        </w:rPr>
        <w:t>（一）资金使用管理情况。</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我单位财务管理严格依法依规，做到公开公平公正，严格执行各项有关法律法规、财经纪律、财务规章制度。严格执行内部监督，无违法违规行为的产生。</w:t>
      </w:r>
    </w:p>
    <w:p>
      <w:pPr>
        <w:spacing w:line="600" w:lineRule="exact"/>
        <w:rPr>
          <w:rFonts w:hint="eastAsia" w:ascii="仿宋" w:hAnsi="仿宋" w:eastAsia="仿宋" w:cs="宋体"/>
          <w:sz w:val="32"/>
          <w:szCs w:val="32"/>
        </w:rPr>
      </w:pPr>
      <w:r>
        <w:rPr>
          <w:rFonts w:hint="eastAsia" w:ascii="仿宋" w:hAnsi="仿宋" w:eastAsia="仿宋" w:cs="宋体"/>
          <w:sz w:val="32"/>
          <w:szCs w:val="32"/>
        </w:rPr>
        <w:t>（二）项目组织实施情况。</w:t>
      </w:r>
    </w:p>
    <w:p>
      <w:pPr>
        <w:spacing w:line="600" w:lineRule="exact"/>
        <w:ind w:firstLine="640" w:firstLineChars="200"/>
        <w:rPr>
          <w:rFonts w:hint="eastAsia" w:ascii="仿宋" w:hAnsi="仿宋" w:eastAsia="仿宋" w:cs="宋体"/>
          <w:sz w:val="32"/>
          <w:szCs w:val="32"/>
          <w:highlight w:val="none"/>
        </w:rPr>
      </w:pPr>
      <w:r>
        <w:rPr>
          <w:rFonts w:hint="eastAsia" w:ascii="仿宋" w:hAnsi="仿宋" w:eastAsia="仿宋" w:cs="宋体"/>
          <w:sz w:val="32"/>
          <w:szCs w:val="32"/>
        </w:rPr>
        <w:t>20</w:t>
      </w:r>
      <w:r>
        <w:rPr>
          <w:rFonts w:hint="eastAsia" w:ascii="仿宋" w:hAnsi="仿宋" w:eastAsia="仿宋" w:cs="宋体"/>
          <w:sz w:val="32"/>
          <w:szCs w:val="32"/>
          <w:lang w:val="en-US" w:eastAsia="zh-CN"/>
        </w:rPr>
        <w:t>20</w:t>
      </w:r>
      <w:r>
        <w:rPr>
          <w:rFonts w:hint="eastAsia" w:ascii="仿宋" w:hAnsi="仿宋" w:eastAsia="仿宋" w:cs="宋体"/>
          <w:sz w:val="32"/>
          <w:szCs w:val="32"/>
        </w:rPr>
        <w:t>年项目支出主要为</w:t>
      </w:r>
      <w:r>
        <w:rPr>
          <w:rFonts w:hint="eastAsia" w:ascii="仿宋" w:hAnsi="仿宋" w:eastAsia="仿宋" w:cs="宋体"/>
          <w:sz w:val="32"/>
          <w:szCs w:val="32"/>
          <w:lang w:eastAsia="zh-CN"/>
        </w:rPr>
        <w:t>各</w:t>
      </w:r>
      <w:r>
        <w:rPr>
          <w:rFonts w:hint="eastAsia" w:ascii="仿宋" w:hAnsi="仿宋" w:eastAsia="仿宋" w:cs="宋体"/>
          <w:sz w:val="32"/>
          <w:szCs w:val="32"/>
          <w:highlight w:val="none"/>
          <w:lang w:eastAsia="zh-CN"/>
        </w:rPr>
        <w:t>村村内</w:t>
      </w:r>
      <w:bookmarkStart w:id="0" w:name="_GoBack"/>
      <w:bookmarkEnd w:id="0"/>
      <w:r>
        <w:rPr>
          <w:rFonts w:hint="eastAsia" w:ascii="仿宋" w:hAnsi="仿宋" w:eastAsia="仿宋" w:cs="宋体"/>
          <w:sz w:val="32"/>
          <w:szCs w:val="32"/>
          <w:highlight w:val="none"/>
          <w:lang w:eastAsia="zh-CN"/>
        </w:rPr>
        <w:t>道路硬化及人行便道修建</w:t>
      </w:r>
      <w:r>
        <w:rPr>
          <w:rFonts w:hint="eastAsia" w:ascii="仿宋" w:hAnsi="仿宋" w:eastAsia="仿宋" w:cs="宋体"/>
          <w:sz w:val="32"/>
          <w:szCs w:val="32"/>
          <w:highlight w:val="none"/>
        </w:rPr>
        <w:t>。</w:t>
      </w:r>
    </w:p>
    <w:p>
      <w:pPr>
        <w:spacing w:line="600" w:lineRule="exact"/>
        <w:rPr>
          <w:rFonts w:hint="eastAsia" w:ascii="仿宋" w:hAnsi="仿宋" w:eastAsia="仿宋" w:cs="宋体"/>
          <w:b/>
          <w:bCs/>
          <w:sz w:val="32"/>
          <w:szCs w:val="32"/>
        </w:rPr>
      </w:pPr>
      <w:r>
        <w:rPr>
          <w:rFonts w:hint="eastAsia" w:ascii="仿宋" w:hAnsi="仿宋" w:eastAsia="仿宋" w:cs="宋体"/>
          <w:b/>
          <w:bCs/>
          <w:sz w:val="32"/>
          <w:szCs w:val="32"/>
        </w:rPr>
        <w:t>四、决算支出绩效情况</w:t>
      </w:r>
    </w:p>
    <w:p>
      <w:pPr>
        <w:spacing w:line="600" w:lineRule="exact"/>
        <w:rPr>
          <w:rFonts w:hint="eastAsia" w:ascii="仿宋" w:hAnsi="仿宋" w:eastAsia="仿宋" w:cs="宋体"/>
          <w:sz w:val="32"/>
          <w:szCs w:val="32"/>
        </w:rPr>
      </w:pPr>
      <w:r>
        <w:rPr>
          <w:rFonts w:hint="eastAsia" w:ascii="仿宋" w:hAnsi="仿宋" w:eastAsia="仿宋" w:cs="宋体"/>
          <w:sz w:val="32"/>
          <w:szCs w:val="32"/>
        </w:rPr>
        <w:t>（一）决算支出决策情况。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宋体"/>
          <w:sz w:val="32"/>
          <w:szCs w:val="32"/>
        </w:rPr>
        <w:t>20</w:t>
      </w:r>
      <w:r>
        <w:rPr>
          <w:rFonts w:hint="eastAsia" w:ascii="仿宋" w:hAnsi="仿宋" w:eastAsia="仿宋" w:cs="宋体"/>
          <w:sz w:val="32"/>
          <w:szCs w:val="32"/>
          <w:lang w:val="en-US" w:eastAsia="zh-CN"/>
        </w:rPr>
        <w:t>20</w:t>
      </w:r>
      <w:r>
        <w:rPr>
          <w:rFonts w:hint="eastAsia" w:ascii="仿宋" w:hAnsi="仿宋" w:eastAsia="仿宋" w:cs="宋体"/>
          <w:sz w:val="32"/>
          <w:szCs w:val="32"/>
        </w:rPr>
        <w:t>年度收入与支出分别为</w:t>
      </w:r>
      <w:r>
        <w:rPr>
          <w:rFonts w:hint="eastAsia" w:asciiTheme="minorEastAsia" w:hAnsiTheme="minorEastAsia" w:eastAsiaTheme="minorEastAsia"/>
          <w:sz w:val="32"/>
          <w:szCs w:val="32"/>
          <w:lang w:val="en-US" w:eastAsia="zh-CN"/>
        </w:rPr>
        <w:t>2246.85</w:t>
      </w:r>
      <w:r>
        <w:rPr>
          <w:rFonts w:hint="eastAsia" w:ascii="仿宋" w:hAnsi="仿宋" w:eastAsia="仿宋" w:cs="宋体"/>
          <w:sz w:val="32"/>
          <w:szCs w:val="32"/>
        </w:rPr>
        <w:t>万元、</w:t>
      </w:r>
      <w:r>
        <w:rPr>
          <w:rFonts w:hint="eastAsia" w:asciiTheme="minorEastAsia" w:hAnsiTheme="minorEastAsia" w:eastAsiaTheme="minorEastAsia"/>
          <w:sz w:val="32"/>
          <w:szCs w:val="32"/>
          <w:lang w:val="en-US" w:eastAsia="zh-CN"/>
        </w:rPr>
        <w:t>2139.15</w:t>
      </w:r>
      <w:r>
        <w:rPr>
          <w:rFonts w:hint="eastAsia" w:ascii="仿宋" w:hAnsi="仿宋" w:eastAsia="仿宋" w:cs="宋体"/>
          <w:sz w:val="32"/>
          <w:szCs w:val="32"/>
        </w:rPr>
        <w:t>万元。与20</w:t>
      </w:r>
      <w:r>
        <w:rPr>
          <w:rFonts w:hint="eastAsia" w:ascii="仿宋" w:hAnsi="仿宋" w:eastAsia="仿宋" w:cs="宋体"/>
          <w:sz w:val="32"/>
          <w:szCs w:val="32"/>
          <w:lang w:val="en-US" w:eastAsia="zh-CN"/>
        </w:rPr>
        <w:t>19</w:t>
      </w:r>
      <w:r>
        <w:rPr>
          <w:rFonts w:hint="eastAsia" w:ascii="仿宋" w:hAnsi="仿宋" w:eastAsia="仿宋" w:cs="宋体"/>
          <w:sz w:val="32"/>
          <w:szCs w:val="32"/>
        </w:rPr>
        <w:t>年相比，收入和支出各</w:t>
      </w:r>
      <w:r>
        <w:rPr>
          <w:rFonts w:hint="eastAsia" w:ascii="仿宋" w:hAnsi="仿宋" w:eastAsia="仿宋" w:cs="宋体"/>
          <w:sz w:val="32"/>
          <w:szCs w:val="32"/>
          <w:lang w:eastAsia="zh-CN"/>
        </w:rPr>
        <w:t>减少</w:t>
      </w:r>
      <w:r>
        <w:rPr>
          <w:rFonts w:hint="eastAsia" w:ascii="仿宋" w:hAnsi="仿宋" w:eastAsia="仿宋" w:cs="宋体"/>
          <w:sz w:val="32"/>
          <w:szCs w:val="32"/>
          <w:lang w:val="en-US" w:eastAsia="zh-CN"/>
        </w:rPr>
        <w:t>131.61</w:t>
      </w:r>
      <w:r>
        <w:rPr>
          <w:rFonts w:hint="eastAsia" w:ascii="仿宋" w:hAnsi="仿宋" w:eastAsia="仿宋" w:cs="宋体"/>
          <w:sz w:val="32"/>
          <w:szCs w:val="32"/>
        </w:rPr>
        <w:t>万元、</w:t>
      </w:r>
      <w:r>
        <w:rPr>
          <w:rFonts w:hint="eastAsia" w:ascii="仿宋" w:hAnsi="仿宋" w:eastAsia="仿宋" w:cs="宋体"/>
          <w:sz w:val="32"/>
          <w:szCs w:val="32"/>
          <w:lang w:val="en-US" w:eastAsia="zh-CN"/>
        </w:rPr>
        <w:t>64.23</w:t>
      </w:r>
      <w:r>
        <w:rPr>
          <w:rFonts w:hint="eastAsia" w:ascii="仿宋" w:hAnsi="仿宋" w:eastAsia="仿宋" w:cs="宋体"/>
          <w:sz w:val="32"/>
          <w:szCs w:val="32"/>
        </w:rPr>
        <w:t>万元，主要是因为</w:t>
      </w:r>
      <w:r>
        <w:rPr>
          <w:rFonts w:hint="eastAsia" w:ascii="仿宋" w:hAnsi="仿宋" w:eastAsia="仿宋" w:cs="仿宋"/>
          <w:sz w:val="32"/>
          <w:szCs w:val="32"/>
        </w:rPr>
        <w:t>响应中共中央厉行节约的文件精神</w:t>
      </w:r>
      <w:r>
        <w:rPr>
          <w:rFonts w:hint="eastAsia" w:ascii="仿宋" w:hAnsi="仿宋" w:eastAsia="仿宋" w:cs="仿宋"/>
          <w:sz w:val="32"/>
          <w:szCs w:val="32"/>
          <w:lang w:eastAsia="zh-CN"/>
        </w:rPr>
        <w:t>，勒紧腰带过苦日子</w:t>
      </w:r>
      <w:r>
        <w:rPr>
          <w:rFonts w:hint="eastAsia" w:ascii="仿宋" w:hAnsi="仿宋" w:eastAsia="仿宋" w:cs="仿宋"/>
          <w:sz w:val="32"/>
          <w:szCs w:val="32"/>
        </w:rPr>
        <w:t>。</w:t>
      </w:r>
    </w:p>
    <w:p>
      <w:pPr>
        <w:spacing w:line="600" w:lineRule="exact"/>
        <w:rPr>
          <w:rFonts w:hint="eastAsia" w:ascii="仿宋" w:hAnsi="仿宋" w:eastAsia="仿宋" w:cs="宋体"/>
          <w:sz w:val="32"/>
          <w:szCs w:val="32"/>
        </w:rPr>
      </w:pPr>
      <w:r>
        <w:rPr>
          <w:rFonts w:hint="eastAsia" w:ascii="仿宋" w:hAnsi="仿宋" w:eastAsia="仿宋" w:cs="宋体"/>
          <w:sz w:val="32"/>
          <w:szCs w:val="32"/>
        </w:rPr>
        <w:t>（二）决算支出过程情况。</w:t>
      </w:r>
    </w:p>
    <w:p>
      <w:pPr>
        <w:pStyle w:val="5"/>
        <w:ind w:firstLine="640" w:firstLineChars="200"/>
        <w:rPr>
          <w:rFonts w:hint="eastAsia" w:ascii="仿宋" w:hAnsi="仿宋" w:eastAsia="仿宋" w:cs="宋体"/>
          <w:sz w:val="32"/>
          <w:szCs w:val="32"/>
        </w:rPr>
      </w:pPr>
      <w:r>
        <w:rPr>
          <w:rFonts w:hint="eastAsia" w:ascii="仿宋" w:hAnsi="仿宋" w:eastAsia="仿宋" w:cs="宋体"/>
          <w:sz w:val="32"/>
          <w:szCs w:val="32"/>
        </w:rPr>
        <w:t>20</w:t>
      </w:r>
      <w:r>
        <w:rPr>
          <w:rFonts w:hint="eastAsia" w:ascii="仿宋" w:hAnsi="仿宋" w:eastAsia="仿宋" w:cs="宋体"/>
          <w:sz w:val="32"/>
          <w:szCs w:val="32"/>
          <w:lang w:val="en-US" w:eastAsia="zh-CN"/>
        </w:rPr>
        <w:t>20</w:t>
      </w:r>
      <w:r>
        <w:rPr>
          <w:rFonts w:hint="eastAsia" w:ascii="仿宋" w:hAnsi="仿宋" w:eastAsia="仿宋" w:cs="宋体"/>
          <w:sz w:val="32"/>
          <w:szCs w:val="32"/>
        </w:rPr>
        <w:t>年度共发生一般公共财</w:t>
      </w:r>
      <w:r>
        <w:rPr>
          <w:rFonts w:hint="eastAsia" w:ascii="仿宋" w:hAnsi="仿宋" w:eastAsia="仿宋" w:cs="仿宋"/>
          <w:sz w:val="32"/>
          <w:szCs w:val="32"/>
        </w:rPr>
        <w:t>政拨款支出</w:t>
      </w:r>
      <w:r>
        <w:rPr>
          <w:rFonts w:hint="eastAsia" w:ascii="仿宋" w:hAnsi="仿宋" w:eastAsia="仿宋" w:cs="仿宋"/>
          <w:sz w:val="32"/>
          <w:szCs w:val="32"/>
          <w:lang w:val="en-US" w:eastAsia="zh-CN"/>
        </w:rPr>
        <w:t>2139.15</w:t>
      </w:r>
      <w:r>
        <w:rPr>
          <w:rFonts w:hint="eastAsia" w:ascii="仿宋" w:hAnsi="仿宋" w:eastAsia="仿宋" w:cs="仿宋"/>
          <w:sz w:val="32"/>
          <w:szCs w:val="32"/>
        </w:rPr>
        <w:t>万元，主要用于以下方面：</w:t>
      </w:r>
      <w:r>
        <w:rPr>
          <w:rFonts w:hint="eastAsia" w:ascii="仿宋" w:hAnsi="仿宋" w:eastAsia="仿宋" w:cs="仿宋"/>
          <w:kern w:val="0"/>
          <w:sz w:val="32"/>
          <w:szCs w:val="32"/>
        </w:rPr>
        <w:t>一般公共服务资金</w:t>
      </w:r>
      <w:r>
        <w:rPr>
          <w:rFonts w:hint="eastAsia" w:ascii="仿宋" w:hAnsi="仿宋" w:eastAsia="仿宋" w:cs="仿宋"/>
          <w:sz w:val="32"/>
          <w:szCs w:val="32"/>
          <w:lang w:val="en-US" w:eastAsia="zh-CN"/>
        </w:rPr>
        <w:t>1643.40</w:t>
      </w:r>
      <w:r>
        <w:rPr>
          <w:rFonts w:hint="eastAsia" w:ascii="仿宋" w:hAnsi="仿宋" w:eastAsia="仿宋" w:cs="仿宋"/>
          <w:kern w:val="0"/>
          <w:sz w:val="32"/>
          <w:szCs w:val="32"/>
        </w:rPr>
        <w:t>万元，</w:t>
      </w:r>
      <w:r>
        <w:rPr>
          <w:rFonts w:hint="eastAsia" w:ascii="仿宋" w:hAnsi="仿宋" w:eastAsia="仿宋" w:cs="仿宋"/>
          <w:bCs/>
          <w:kern w:val="0"/>
          <w:sz w:val="32"/>
          <w:szCs w:val="32"/>
          <w:lang w:val="en-US" w:eastAsia="zh-CN"/>
        </w:rPr>
        <w:t>占</w:t>
      </w:r>
      <w:r>
        <w:rPr>
          <w:rFonts w:hint="eastAsia" w:ascii="仿宋" w:hAnsi="仿宋" w:eastAsia="仿宋" w:cs="仿宋"/>
          <w:sz w:val="32"/>
          <w:szCs w:val="32"/>
          <w:lang w:val="en-US" w:eastAsia="zh-CN"/>
        </w:rPr>
        <w:t>76.8</w:t>
      </w:r>
      <w:r>
        <w:rPr>
          <w:rFonts w:hint="eastAsia" w:ascii="仿宋" w:hAnsi="仿宋" w:eastAsia="仿宋" w:cs="仿宋"/>
          <w:bCs/>
          <w:kern w:val="0"/>
          <w:sz w:val="32"/>
          <w:szCs w:val="32"/>
          <w:lang w:val="en-US" w:eastAsia="zh-CN"/>
        </w:rPr>
        <w:t>%；</w:t>
      </w:r>
      <w:r>
        <w:rPr>
          <w:rFonts w:hint="eastAsia" w:ascii="仿宋" w:hAnsi="仿宋" w:eastAsia="仿宋" w:cs="仿宋"/>
          <w:kern w:val="0"/>
          <w:sz w:val="32"/>
          <w:szCs w:val="32"/>
        </w:rPr>
        <w:t>社会保障和</w:t>
      </w:r>
      <w:r>
        <w:rPr>
          <w:rFonts w:hint="eastAsia" w:ascii="仿宋" w:hAnsi="仿宋" w:eastAsia="仿宋" w:cs="仿宋"/>
          <w:sz w:val="32"/>
          <w:szCs w:val="32"/>
          <w:lang w:eastAsia="zh-CN"/>
        </w:rPr>
        <w:t>就业</w:t>
      </w:r>
      <w:r>
        <w:rPr>
          <w:rFonts w:hint="eastAsia" w:ascii="仿宋" w:hAnsi="仿宋" w:eastAsia="仿宋" w:cs="仿宋"/>
          <w:kern w:val="0"/>
          <w:sz w:val="32"/>
          <w:szCs w:val="32"/>
        </w:rPr>
        <w:t>资金</w:t>
      </w:r>
      <w:r>
        <w:rPr>
          <w:rFonts w:hint="eastAsia" w:ascii="仿宋" w:hAnsi="仿宋" w:eastAsia="仿宋" w:cs="仿宋"/>
          <w:sz w:val="32"/>
          <w:szCs w:val="32"/>
          <w:lang w:val="en-US" w:eastAsia="zh-CN"/>
        </w:rPr>
        <w:t>386.34</w:t>
      </w:r>
      <w:r>
        <w:rPr>
          <w:rFonts w:hint="eastAsia" w:ascii="仿宋" w:hAnsi="仿宋" w:eastAsia="仿宋" w:cs="仿宋"/>
          <w:kern w:val="0"/>
          <w:sz w:val="32"/>
          <w:szCs w:val="32"/>
        </w:rPr>
        <w:t>万元，</w:t>
      </w:r>
      <w:r>
        <w:rPr>
          <w:rFonts w:hint="eastAsia" w:ascii="仿宋" w:hAnsi="仿宋" w:eastAsia="仿宋" w:cs="仿宋"/>
          <w:sz w:val="32"/>
          <w:szCs w:val="32"/>
        </w:rPr>
        <w:t>占</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18.1</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rPr>
        <w:t>支出</w:t>
      </w:r>
      <w:r>
        <w:rPr>
          <w:rFonts w:hint="eastAsia" w:ascii="仿宋" w:hAnsi="仿宋" w:eastAsia="仿宋" w:cs="仿宋"/>
          <w:sz w:val="32"/>
          <w:szCs w:val="32"/>
          <w:lang w:val="en-US" w:eastAsia="zh-CN"/>
        </w:rPr>
        <w:t>9.98</w:t>
      </w:r>
      <w:r>
        <w:rPr>
          <w:rFonts w:hint="eastAsia" w:ascii="仿宋" w:hAnsi="仿宋" w:eastAsia="仿宋" w:cs="仿宋"/>
          <w:sz w:val="32"/>
          <w:szCs w:val="32"/>
        </w:rPr>
        <w:t>万元，占</w:t>
      </w:r>
      <w:r>
        <w:rPr>
          <w:rFonts w:hint="eastAsia" w:ascii="仿宋" w:hAnsi="仿宋" w:eastAsia="仿宋" w:cs="仿宋"/>
          <w:sz w:val="32"/>
          <w:szCs w:val="32"/>
          <w:lang w:val="en-US" w:eastAsia="zh-CN"/>
        </w:rPr>
        <w:t>0.5%</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农林水支出</w:t>
      </w:r>
      <w:r>
        <w:rPr>
          <w:rFonts w:hint="eastAsia" w:ascii="仿宋" w:hAnsi="仿宋" w:eastAsia="仿宋" w:cs="仿宋"/>
          <w:sz w:val="32"/>
          <w:szCs w:val="32"/>
          <w:lang w:val="en-US" w:eastAsia="zh-CN"/>
        </w:rPr>
        <w:t>83</w:t>
      </w:r>
      <w:r>
        <w:rPr>
          <w:rFonts w:hint="eastAsia" w:ascii="仿宋" w:hAnsi="仿宋" w:eastAsia="仿宋" w:cs="仿宋"/>
          <w:sz w:val="32"/>
          <w:szCs w:val="32"/>
        </w:rPr>
        <w:t>万元，占</w:t>
      </w:r>
      <w:r>
        <w:rPr>
          <w:rFonts w:hint="eastAsia" w:ascii="仿宋" w:hAnsi="仿宋" w:eastAsia="仿宋" w:cs="仿宋"/>
          <w:sz w:val="32"/>
          <w:szCs w:val="32"/>
          <w:lang w:val="en-US" w:eastAsia="zh-CN"/>
        </w:rPr>
        <w:t>3.9</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住房保障支出</w:t>
      </w:r>
      <w:r>
        <w:rPr>
          <w:rFonts w:hint="eastAsia" w:ascii="仿宋" w:hAnsi="仿宋" w:eastAsia="仿宋" w:cs="仿宋"/>
          <w:sz w:val="32"/>
          <w:szCs w:val="32"/>
          <w:lang w:val="en-US" w:eastAsia="zh-CN"/>
        </w:rPr>
        <w:t>16.43</w:t>
      </w:r>
      <w:r>
        <w:rPr>
          <w:rFonts w:hint="eastAsia" w:ascii="仿宋" w:hAnsi="仿宋" w:eastAsia="仿宋" w:cs="仿宋"/>
          <w:sz w:val="32"/>
          <w:szCs w:val="32"/>
        </w:rPr>
        <w:t>万元，占</w:t>
      </w:r>
      <w:r>
        <w:rPr>
          <w:rFonts w:hint="eastAsia" w:ascii="仿宋" w:hAnsi="仿宋" w:eastAsia="仿宋" w:cs="仿宋"/>
          <w:sz w:val="32"/>
          <w:szCs w:val="32"/>
          <w:lang w:val="en-US" w:eastAsia="zh-CN"/>
        </w:rPr>
        <w:t>0.7</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600" w:lineRule="exact"/>
        <w:rPr>
          <w:rFonts w:hint="eastAsia" w:ascii="仿宋" w:hAnsi="仿宋" w:eastAsia="仿宋" w:cs="宋体"/>
          <w:sz w:val="32"/>
          <w:szCs w:val="32"/>
        </w:rPr>
      </w:pPr>
      <w:r>
        <w:rPr>
          <w:rFonts w:hint="eastAsia" w:ascii="仿宋" w:hAnsi="仿宋" w:eastAsia="仿宋" w:cs="宋体"/>
          <w:sz w:val="32"/>
          <w:szCs w:val="32"/>
        </w:rPr>
        <w:t>（三）决算支出产出情况。</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通过合理使用资金，既保障了单位正常运行、完善</w:t>
      </w:r>
      <w:r>
        <w:rPr>
          <w:rFonts w:hint="eastAsia" w:ascii="仿宋" w:hAnsi="仿宋" w:eastAsia="仿宋" w:cs="宋体"/>
          <w:sz w:val="32"/>
          <w:szCs w:val="32"/>
          <w:lang w:eastAsia="zh-CN"/>
        </w:rPr>
        <w:t>各村</w:t>
      </w:r>
      <w:r>
        <w:rPr>
          <w:rFonts w:hint="eastAsia" w:ascii="仿宋" w:hAnsi="仿宋" w:eastAsia="仿宋" w:cs="宋体"/>
          <w:sz w:val="32"/>
          <w:szCs w:val="32"/>
        </w:rPr>
        <w:t>基础设施建设，</w:t>
      </w:r>
      <w:r>
        <w:rPr>
          <w:rFonts w:hint="eastAsia" w:ascii="仿宋" w:hAnsi="仿宋" w:eastAsia="仿宋" w:cs="宋体"/>
          <w:sz w:val="32"/>
          <w:szCs w:val="32"/>
          <w:lang w:eastAsia="zh-CN"/>
        </w:rPr>
        <w:t>提高居民生活便利程度，</w:t>
      </w:r>
      <w:r>
        <w:rPr>
          <w:rFonts w:hint="eastAsia" w:ascii="仿宋" w:hAnsi="仿宋" w:eastAsia="仿宋" w:cs="宋体"/>
          <w:sz w:val="32"/>
          <w:szCs w:val="32"/>
        </w:rPr>
        <w:t>完成了税收任务、服务企业及推动企业发展壮大。</w:t>
      </w:r>
    </w:p>
    <w:p>
      <w:pPr>
        <w:spacing w:line="600" w:lineRule="exact"/>
        <w:rPr>
          <w:rFonts w:hint="eastAsia" w:ascii="仿宋" w:hAnsi="仿宋" w:eastAsia="仿宋" w:cs="宋体"/>
          <w:sz w:val="32"/>
          <w:szCs w:val="32"/>
        </w:rPr>
      </w:pPr>
      <w:r>
        <w:rPr>
          <w:rFonts w:hint="eastAsia" w:ascii="仿宋" w:hAnsi="仿宋" w:eastAsia="仿宋" w:cs="宋体"/>
          <w:sz w:val="32"/>
          <w:szCs w:val="32"/>
        </w:rPr>
        <w:t>（四）决算支出效益情况。</w:t>
      </w:r>
    </w:p>
    <w:p>
      <w:pPr>
        <w:spacing w:line="60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通过合理使用资金，结合招商引资</w:t>
      </w:r>
      <w:r>
        <w:rPr>
          <w:rFonts w:hint="eastAsia" w:ascii="仿宋" w:hAnsi="仿宋" w:eastAsia="仿宋" w:cs="宋体"/>
          <w:sz w:val="32"/>
          <w:szCs w:val="32"/>
          <w:lang w:eastAsia="zh-CN"/>
        </w:rPr>
        <w:t>、推动居民就业</w:t>
      </w:r>
      <w:r>
        <w:rPr>
          <w:rFonts w:hint="eastAsia" w:ascii="仿宋" w:hAnsi="仿宋" w:eastAsia="仿宋" w:cs="宋体"/>
          <w:sz w:val="32"/>
          <w:szCs w:val="32"/>
        </w:rPr>
        <w:t>工作</w:t>
      </w:r>
      <w:r>
        <w:rPr>
          <w:rFonts w:hint="eastAsia" w:ascii="仿宋" w:hAnsi="仿宋" w:eastAsia="仿宋" w:cs="宋体"/>
          <w:sz w:val="32"/>
          <w:szCs w:val="32"/>
          <w:lang w:eastAsia="zh-CN"/>
        </w:rPr>
        <w:t>。</w:t>
      </w:r>
    </w:p>
    <w:p>
      <w:pPr>
        <w:spacing w:line="600" w:lineRule="exact"/>
        <w:rPr>
          <w:rFonts w:hint="eastAsia" w:ascii="仿宋" w:hAnsi="仿宋" w:eastAsia="仿宋" w:cs="宋体"/>
          <w:sz w:val="32"/>
          <w:szCs w:val="32"/>
          <w:lang w:eastAsia="zh-CN"/>
        </w:rPr>
      </w:pPr>
      <w:r>
        <w:rPr>
          <w:rFonts w:hint="eastAsia" w:ascii="仿宋" w:hAnsi="仿宋" w:eastAsia="仿宋" w:cs="宋体"/>
          <w:b/>
          <w:bCs/>
          <w:sz w:val="32"/>
          <w:szCs w:val="32"/>
        </w:rPr>
        <w:t>五、主要经验做法、存在的问题及原因分析</w:t>
      </w:r>
      <w:r>
        <w:rPr>
          <w:rFonts w:hint="eastAsia" w:ascii="仿宋" w:hAnsi="仿宋" w:eastAsia="仿宋" w:cs="宋体"/>
          <w:b/>
          <w:bCs/>
          <w:sz w:val="32"/>
          <w:szCs w:val="32"/>
          <w:lang w:eastAsia="zh-CN"/>
        </w:rPr>
        <w:t>。</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由于部门统筹协调机制尚未健全，财政资金支出重点不突出，部门预算编制不规范，目标不够明确、细化和量化</w:t>
      </w:r>
      <w:r>
        <w:rPr>
          <w:rFonts w:hint="eastAsia" w:ascii="仿宋" w:hAnsi="仿宋" w:eastAsia="仿宋" w:cs="宋体"/>
          <w:sz w:val="32"/>
          <w:szCs w:val="32"/>
          <w:lang w:eastAsia="zh-CN"/>
        </w:rPr>
        <w:t>。</w:t>
      </w:r>
      <w:r>
        <w:rPr>
          <w:rFonts w:hint="eastAsia" w:ascii="仿宋" w:hAnsi="仿宋" w:eastAsia="仿宋" w:cs="宋体"/>
          <w:sz w:val="32"/>
          <w:szCs w:val="32"/>
        </w:rPr>
        <w:t>业务类支出未能根据部门职能及当年度工作规划等进行细化，不利于绩效评价工作的开展。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D4B80"/>
    <w:rsid w:val="0AB0172B"/>
    <w:rsid w:val="0BC918FD"/>
    <w:rsid w:val="11EB3C42"/>
    <w:rsid w:val="14E044AE"/>
    <w:rsid w:val="1A031B94"/>
    <w:rsid w:val="1A16355A"/>
    <w:rsid w:val="22503C71"/>
    <w:rsid w:val="2DBC4F47"/>
    <w:rsid w:val="386E0942"/>
    <w:rsid w:val="3F10307E"/>
    <w:rsid w:val="434D4B80"/>
    <w:rsid w:val="4C0F3B17"/>
    <w:rsid w:val="4FDA2659"/>
    <w:rsid w:val="59E51408"/>
    <w:rsid w:val="63251BE3"/>
    <w:rsid w:val="64072E92"/>
    <w:rsid w:val="6976546F"/>
    <w:rsid w:val="6A6B60D5"/>
    <w:rsid w:val="71326B72"/>
    <w:rsid w:val="7628521F"/>
    <w:rsid w:val="776E0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2020-09-27T01:10:00Z</dcterms:created>
  <dc:creator>Administrator</dc:creator>
  <cp:lastModifiedBy>Administrator</cp:lastModifiedBy>
  <dcterms:modified xsi:type="dcterms:W3CDTF">2021-09-02T02:44:46Z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E03CEFDC41DE4E588EAC04A920C68790</vt:lpwstr>
  </property>
</Properties>
</file>