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jc w:val="center"/>
        <w:rPr>
          <w:rFonts w:hint="eastAsia"/>
          <w:bCs/>
          <w:color w:val="FF0000"/>
          <w:sz w:val="48"/>
          <w:szCs w:val="48"/>
        </w:rPr>
      </w:pPr>
    </w:p>
    <w:p>
      <w:pPr>
        <w:pStyle w:val="2"/>
        <w:widowControl/>
        <w:jc w:val="center"/>
        <w:rPr>
          <w:rFonts w:hint="eastAsia"/>
          <w:bCs/>
          <w:color w:val="FF0000"/>
          <w:sz w:val="48"/>
          <w:szCs w:val="48"/>
        </w:rPr>
      </w:pPr>
    </w:p>
    <w:p>
      <w:pPr>
        <w:pStyle w:val="2"/>
        <w:widowControl/>
        <w:jc w:val="center"/>
        <w:rPr>
          <w:rFonts w:hint="eastAsia"/>
          <w:bCs/>
          <w:color w:val="FF0000"/>
          <w:sz w:val="48"/>
          <w:szCs w:val="48"/>
        </w:rPr>
      </w:pPr>
    </w:p>
    <w:p>
      <w:pPr>
        <w:pStyle w:val="2"/>
        <w:widowControl/>
        <w:jc w:val="center"/>
        <w:rPr>
          <w:rFonts w:hint="eastAsia"/>
          <w:bCs/>
          <w:color w:val="FF0000"/>
          <w:sz w:val="48"/>
          <w:szCs w:val="48"/>
        </w:rPr>
      </w:pPr>
    </w:p>
    <w:p>
      <w:pPr>
        <w:pStyle w:val="2"/>
        <w:widowControl/>
        <w:jc w:val="center"/>
        <w:rPr>
          <w:rFonts w:hint="eastAsia"/>
          <w:bCs/>
          <w:color w:val="FF0000"/>
          <w:sz w:val="48"/>
          <w:szCs w:val="48"/>
        </w:rPr>
      </w:pPr>
    </w:p>
    <w:p>
      <w:pPr>
        <w:rPr>
          <w:rFonts w:hint="eastAsia"/>
          <w:color w:val="2A67B8"/>
          <w:sz w:val="45"/>
          <w:szCs w:val="45"/>
        </w:rPr>
      </w:pPr>
    </w:p>
    <w:p>
      <w:pPr>
        <w:spacing w:line="600" w:lineRule="exact"/>
        <w:jc w:val="center"/>
        <w:rPr>
          <w:rFonts w:hint="eastAsia" w:eastAsia="方正小标宋_GBK"/>
          <w:sz w:val="36"/>
          <w:szCs w:val="36"/>
        </w:rPr>
      </w:pPr>
      <w:r>
        <w:rPr>
          <w:rFonts w:hint="eastAsia" w:eastAsia="方正小标宋_GBK"/>
          <w:sz w:val="36"/>
          <w:szCs w:val="36"/>
        </w:rPr>
        <w:t>辰溪县</w:t>
      </w:r>
      <w:r>
        <w:rPr>
          <w:rFonts w:hint="eastAsia" w:eastAsia="方正小标宋_GBK"/>
          <w:sz w:val="36"/>
          <w:szCs w:val="36"/>
          <w:lang w:eastAsia="zh-CN"/>
        </w:rPr>
        <w:t>仙人湾瑶族乡</w:t>
      </w:r>
      <w:r>
        <w:rPr>
          <w:rFonts w:hint="eastAsia" w:eastAsia="方正小标宋_GBK"/>
          <w:sz w:val="36"/>
          <w:szCs w:val="36"/>
        </w:rPr>
        <w:t>人民政府202</w:t>
      </w:r>
      <w:r>
        <w:rPr>
          <w:rFonts w:hint="eastAsia" w:eastAsia="方正小标宋_GBK"/>
          <w:sz w:val="36"/>
          <w:szCs w:val="36"/>
          <w:lang w:val="en-US" w:eastAsia="zh-CN"/>
        </w:rPr>
        <w:t>1</w:t>
      </w:r>
      <w:r>
        <w:rPr>
          <w:rFonts w:hint="eastAsia" w:eastAsia="方正小标宋_GBK"/>
          <w:sz w:val="36"/>
          <w:szCs w:val="36"/>
        </w:rPr>
        <w:t>年度部门整体支出绩效评价报告</w:t>
      </w:r>
    </w:p>
    <w:p>
      <w:pPr>
        <w:keepNext w:val="0"/>
        <w:keepLines w:val="0"/>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Theme="minorEastAsia" w:hAnsiTheme="minorEastAsia" w:eastAsiaTheme="minorEastAsia" w:cstheme="minorEastAsia"/>
          <w:i w:val="0"/>
          <w:iCs w:val="0"/>
          <w:caps w:val="0"/>
          <w:color w:val="3D3D3D"/>
          <w:spacing w:val="0"/>
          <w:kern w:val="0"/>
          <w:sz w:val="30"/>
          <w:szCs w:val="30"/>
          <w:shd w:val="clear" w:fill="FFFFFF"/>
          <w:lang w:val="en-US" w:eastAsia="zh-CN" w:bidi="ar-SA"/>
        </w:rPr>
      </w:pPr>
      <w:r>
        <w:rPr>
          <w:rFonts w:hint="eastAsia" w:asciiTheme="minorEastAsia" w:hAnsiTheme="minorEastAsia" w:eastAsiaTheme="minorEastAsia" w:cstheme="minorEastAsia"/>
          <w:i w:val="0"/>
          <w:iCs w:val="0"/>
          <w:caps w:val="0"/>
          <w:color w:val="3D3D3D"/>
          <w:spacing w:val="0"/>
          <w:kern w:val="0"/>
          <w:sz w:val="30"/>
          <w:szCs w:val="30"/>
          <w:shd w:val="clear" w:fill="FFFFFF"/>
          <w:lang w:val="en-US" w:eastAsia="zh-CN" w:bidi="ar-SA"/>
        </w:rPr>
        <w:t>为认真贯彻落实《中共中央 国务院关于全面实施预算绩效管理的意见》（中发[2018]34号）精神，提高财政资金使用效益和管理水平，根据《中共湖南省委 湖南省人民政府关于全面实施预算绩效管理的实施意见》（湘办发〔2019〕10号）以及《辰溪县财政资金预算绩效管理实施办法》（辰政办发【2020】15号）等相关文件要求，结合本单位实际，现将我单位2021年度部门整体支出绩效自评结果报告如下:</w:t>
      </w:r>
    </w:p>
    <w:p>
      <w:pPr>
        <w:pStyle w:val="2"/>
        <w:bidi w:val="0"/>
        <w:rPr>
          <w:rFonts w:hint="eastAsia" w:eastAsia="黑体"/>
          <w:lang w:eastAsia="zh-CN"/>
        </w:rPr>
      </w:pPr>
      <w:r>
        <w:rPr>
          <w:rFonts w:hint="eastAsia"/>
        </w:rPr>
        <w:t>一、</w:t>
      </w:r>
      <w:r>
        <w:rPr>
          <w:rFonts w:hint="eastAsia"/>
          <w:lang w:eastAsia="zh-CN"/>
        </w:rPr>
        <w:t>部门基本情况</w:t>
      </w:r>
    </w:p>
    <w:p>
      <w:pPr>
        <w:pStyle w:val="3"/>
        <w:bidi w:val="0"/>
        <w:rPr>
          <w:rFonts w:hint="eastAsia" w:eastAsia="宋体"/>
          <w:lang w:eastAsia="zh-CN"/>
        </w:rPr>
      </w:pPr>
      <w:r>
        <w:rPr>
          <w:rFonts w:hint="eastAsia"/>
        </w:rPr>
        <w:t>（一）</w:t>
      </w:r>
      <w:r>
        <w:rPr>
          <w:rFonts w:hint="eastAsia"/>
          <w:lang w:eastAsia="zh-CN"/>
        </w:rPr>
        <w:t>部门职能与机构设置</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auto"/>
        <w:ind w:right="0" w:firstLine="600" w:firstLineChars="200"/>
        <w:jc w:val="both"/>
        <w:textAlignment w:val="auto"/>
        <w:rPr>
          <w:rFonts w:hint="eastAsia" w:asciiTheme="minorEastAsia" w:hAnsiTheme="minorEastAsia" w:eastAsiaTheme="minorEastAsia" w:cstheme="minorEastAsia"/>
          <w:i w:val="0"/>
          <w:iCs w:val="0"/>
          <w:caps w:val="0"/>
          <w:color w:val="3D3D3D"/>
          <w:spacing w:val="0"/>
          <w:sz w:val="30"/>
          <w:szCs w:val="30"/>
          <w:shd w:val="clear" w:fill="FFFFFF"/>
        </w:rPr>
      </w:pPr>
      <w:r>
        <w:rPr>
          <w:rFonts w:hint="eastAsia" w:asciiTheme="minorEastAsia" w:hAnsiTheme="minorEastAsia" w:eastAsiaTheme="minorEastAsia" w:cstheme="minorEastAsia"/>
          <w:i w:val="0"/>
          <w:iCs w:val="0"/>
          <w:caps w:val="0"/>
          <w:color w:val="3D3D3D"/>
          <w:spacing w:val="0"/>
          <w:sz w:val="30"/>
          <w:szCs w:val="30"/>
          <w:shd w:val="clear" w:fill="FFFFFF"/>
        </w:rPr>
        <w:t>辰溪县</w:t>
      </w:r>
      <w:r>
        <w:rPr>
          <w:rFonts w:hint="eastAsia" w:asciiTheme="minorEastAsia" w:hAnsiTheme="minorEastAsia" w:eastAsiaTheme="minorEastAsia" w:cstheme="minorEastAsia"/>
          <w:i w:val="0"/>
          <w:iCs w:val="0"/>
          <w:caps w:val="0"/>
          <w:color w:val="3D3D3D"/>
          <w:spacing w:val="0"/>
          <w:sz w:val="30"/>
          <w:szCs w:val="30"/>
          <w:shd w:val="clear" w:fill="FFFFFF"/>
          <w:lang w:eastAsia="zh-CN"/>
        </w:rPr>
        <w:t>仙人湾瑶族</w:t>
      </w:r>
      <w:r>
        <w:rPr>
          <w:rFonts w:hint="eastAsia" w:asciiTheme="minorEastAsia" w:hAnsiTheme="minorEastAsia" w:eastAsiaTheme="minorEastAsia" w:cstheme="minorEastAsia"/>
          <w:i w:val="0"/>
          <w:iCs w:val="0"/>
          <w:caps w:val="0"/>
          <w:color w:val="3D3D3D"/>
          <w:spacing w:val="0"/>
          <w:sz w:val="30"/>
          <w:szCs w:val="30"/>
          <w:shd w:val="clear" w:fill="FFFFFF"/>
        </w:rPr>
        <w:t>乡人民政府基本职能：承担促进经济发展、搞好公共服务、加强社会管理、维护社会稳定等综合职能。具体职能如下：1、认真贯彻国家的方针政策、法律、法规，严格遵循财经纪律和各项规章制度。2、执行本级人民代表大会的决议和上级国家行政机关的决定和命令。3、执行本行政区域内的经济和社会发展计划、预算，管理本行政区域内的经济、教育、科学、文化、卫健、体育事业和财政、民政、司法行政等行政工作。4、保护社会主义的全民所有的财产和劳动群众集体所有的财产，保护公民私人所有的合法财产，维护社会秩序，保障公民的人身权利、民主权利和其他权利。5、保护各种经济组织的合法权益。6、办理上级人民政府交办的其他事项。</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auto"/>
        <w:ind w:right="0" w:firstLine="600" w:firstLineChars="200"/>
        <w:jc w:val="both"/>
        <w:textAlignment w:val="auto"/>
        <w:rPr>
          <w:rFonts w:hint="eastAsia" w:asciiTheme="minorEastAsia" w:hAnsiTheme="minorEastAsia" w:eastAsiaTheme="minorEastAsia" w:cstheme="minorEastAsia"/>
          <w:i w:val="0"/>
          <w:iCs w:val="0"/>
          <w:caps w:val="0"/>
          <w:color w:val="3D3D3D"/>
          <w:spacing w:val="0"/>
          <w:sz w:val="30"/>
          <w:szCs w:val="30"/>
          <w:shd w:val="clear" w:fill="FFFFFF"/>
        </w:rPr>
      </w:pPr>
      <w:r>
        <w:rPr>
          <w:rFonts w:hint="eastAsia" w:asciiTheme="minorEastAsia" w:hAnsiTheme="minorEastAsia" w:eastAsiaTheme="minorEastAsia" w:cstheme="minorEastAsia"/>
          <w:i w:val="0"/>
          <w:iCs w:val="0"/>
          <w:caps w:val="0"/>
          <w:color w:val="3D3D3D"/>
          <w:spacing w:val="0"/>
          <w:sz w:val="30"/>
          <w:szCs w:val="30"/>
          <w:shd w:val="clear" w:fill="FFFFFF"/>
        </w:rPr>
        <w:t>机构设置：</w:t>
      </w:r>
      <w:r>
        <w:rPr>
          <w:rFonts w:hint="eastAsia" w:asciiTheme="minorEastAsia" w:hAnsiTheme="minorEastAsia" w:eastAsiaTheme="minorEastAsia" w:cstheme="minorEastAsia"/>
          <w:i w:val="0"/>
          <w:iCs w:val="0"/>
          <w:caps w:val="0"/>
          <w:color w:val="3D3D3D"/>
          <w:spacing w:val="0"/>
          <w:sz w:val="30"/>
          <w:szCs w:val="30"/>
          <w:shd w:val="clear" w:fill="FFFFFF"/>
          <w:lang w:eastAsia="zh-CN"/>
        </w:rPr>
        <w:t>仙人湾瑶族</w:t>
      </w:r>
      <w:r>
        <w:rPr>
          <w:rFonts w:hint="eastAsia" w:asciiTheme="minorEastAsia" w:hAnsiTheme="minorEastAsia" w:eastAsiaTheme="minorEastAsia" w:cstheme="minorEastAsia"/>
          <w:i w:val="0"/>
          <w:iCs w:val="0"/>
          <w:caps w:val="0"/>
          <w:color w:val="3D3D3D"/>
          <w:spacing w:val="0"/>
          <w:sz w:val="30"/>
          <w:szCs w:val="30"/>
          <w:shd w:val="clear" w:fill="FFFFFF"/>
        </w:rPr>
        <w:t>乡人民政府属全额行政机关，是一级部门预算单位，根据编制部门机构改革批复方案，内设党政办公室、党建办公室、经济发展办公室、社会事务办公室、社会治安和应急管理办公室、自然资源和生态环境办公室、社会事务综合服务中心、农业综合服务中心、便民服务中心、综合行政执法大队、财政所。</w:t>
      </w:r>
    </w:p>
    <w:p>
      <w:pPr>
        <w:pStyle w:val="3"/>
        <w:bidi w:val="0"/>
        <w:rPr>
          <w:rFonts w:hint="eastAsia" w:asciiTheme="minorEastAsia" w:hAnsiTheme="minorEastAsia" w:eastAsiaTheme="minorEastAsia" w:cstheme="minorEastAsia"/>
          <w:i w:val="0"/>
          <w:iCs w:val="0"/>
          <w:caps w:val="0"/>
          <w:color w:val="3D3D3D"/>
          <w:spacing w:val="0"/>
          <w:sz w:val="30"/>
          <w:szCs w:val="30"/>
          <w:shd w:val="clear" w:fill="FFFFFF"/>
        </w:rPr>
      </w:pPr>
      <w:r>
        <w:rPr>
          <w:rFonts w:hint="eastAsia"/>
          <w:b/>
        </w:rPr>
        <w:t>（二）</w:t>
      </w:r>
      <w:r>
        <w:rPr>
          <w:rFonts w:hint="eastAsia"/>
          <w:b/>
          <w:lang w:eastAsia="zh-CN"/>
        </w:rPr>
        <w:t>人员情况</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napToGrid/>
        <w:spacing w:before="0" w:beforeAutospacing="0" w:after="225" w:afterAutospacing="0" w:line="240" w:lineRule="auto"/>
        <w:ind w:left="0" w:right="0" w:firstLine="600" w:firstLineChars="200"/>
        <w:jc w:val="both"/>
        <w:textAlignment w:val="auto"/>
        <w:rPr>
          <w:rFonts w:hint="eastAsia" w:asciiTheme="minorEastAsia" w:hAnsiTheme="minorEastAsia" w:eastAsiaTheme="minorEastAsia" w:cstheme="minorEastAsia"/>
          <w:i w:val="0"/>
          <w:iCs w:val="0"/>
          <w:caps w:val="0"/>
          <w:color w:val="3D3D3D"/>
          <w:spacing w:val="0"/>
          <w:sz w:val="30"/>
          <w:szCs w:val="30"/>
          <w:shd w:val="clear" w:fill="FFFFFF"/>
        </w:rPr>
      </w:pPr>
      <w:r>
        <w:rPr>
          <w:rFonts w:hint="eastAsia" w:asciiTheme="minorEastAsia" w:hAnsiTheme="minorEastAsia" w:eastAsiaTheme="minorEastAsia" w:cstheme="minorEastAsia"/>
          <w:i w:val="0"/>
          <w:iCs w:val="0"/>
          <w:caps w:val="0"/>
          <w:color w:val="3D3D3D"/>
          <w:spacing w:val="0"/>
          <w:sz w:val="30"/>
          <w:szCs w:val="30"/>
          <w:shd w:val="clear" w:fill="FFFFFF"/>
        </w:rPr>
        <w:t>人员情况：截至</w:t>
      </w:r>
      <w:r>
        <w:rPr>
          <w:rFonts w:hint="eastAsia" w:asciiTheme="minorEastAsia" w:hAnsiTheme="minorEastAsia" w:eastAsiaTheme="minorEastAsia" w:cstheme="minorEastAsia"/>
          <w:i w:val="0"/>
          <w:iCs w:val="0"/>
          <w:caps w:val="0"/>
          <w:color w:val="3D3D3D"/>
          <w:spacing w:val="0"/>
          <w:sz w:val="30"/>
          <w:szCs w:val="30"/>
          <w:shd w:val="clear" w:fill="FFFFFF"/>
          <w:lang w:eastAsia="zh-CN"/>
        </w:rPr>
        <w:t>202</w:t>
      </w:r>
      <w:r>
        <w:rPr>
          <w:rFonts w:hint="eastAsia" w:asciiTheme="minorEastAsia" w:hAnsiTheme="minorEastAsia" w:eastAsiaTheme="minorEastAsia" w:cstheme="minorEastAsia"/>
          <w:i w:val="0"/>
          <w:iCs w:val="0"/>
          <w:caps w:val="0"/>
          <w:color w:val="3D3D3D"/>
          <w:spacing w:val="0"/>
          <w:sz w:val="30"/>
          <w:szCs w:val="30"/>
          <w:shd w:val="clear" w:fill="FFFFFF"/>
          <w:lang w:val="en-US" w:eastAsia="zh-CN"/>
        </w:rPr>
        <w:t>1</w:t>
      </w:r>
      <w:r>
        <w:rPr>
          <w:rFonts w:hint="eastAsia" w:asciiTheme="minorEastAsia" w:hAnsiTheme="minorEastAsia" w:eastAsiaTheme="minorEastAsia" w:cstheme="minorEastAsia"/>
          <w:i w:val="0"/>
          <w:iCs w:val="0"/>
          <w:caps w:val="0"/>
          <w:color w:val="3D3D3D"/>
          <w:spacing w:val="0"/>
          <w:sz w:val="30"/>
          <w:szCs w:val="30"/>
          <w:shd w:val="clear" w:fill="FFFFFF"/>
        </w:rPr>
        <w:t>年底，</w:t>
      </w:r>
      <w:r>
        <w:rPr>
          <w:rFonts w:hint="eastAsia" w:asciiTheme="minorEastAsia" w:hAnsiTheme="minorEastAsia" w:eastAsiaTheme="minorEastAsia" w:cstheme="minorEastAsia"/>
          <w:i w:val="0"/>
          <w:iCs w:val="0"/>
          <w:caps w:val="0"/>
          <w:color w:val="3D3D3D"/>
          <w:spacing w:val="0"/>
          <w:sz w:val="30"/>
          <w:szCs w:val="30"/>
          <w:shd w:val="clear" w:fill="FFFFFF"/>
          <w:lang w:eastAsia="zh-CN"/>
        </w:rPr>
        <w:t>仙人湾瑶族</w:t>
      </w:r>
      <w:r>
        <w:rPr>
          <w:rFonts w:hint="eastAsia" w:asciiTheme="minorEastAsia" w:hAnsiTheme="minorEastAsia" w:eastAsiaTheme="minorEastAsia" w:cstheme="minorEastAsia"/>
          <w:i w:val="0"/>
          <w:iCs w:val="0"/>
          <w:caps w:val="0"/>
          <w:color w:val="3D3D3D"/>
          <w:spacing w:val="0"/>
          <w:sz w:val="30"/>
          <w:szCs w:val="30"/>
          <w:shd w:val="clear" w:fill="FFFFFF"/>
        </w:rPr>
        <w:t>乡人民政府核定人员编制</w:t>
      </w:r>
      <w:r>
        <w:rPr>
          <w:rFonts w:hint="eastAsia" w:asciiTheme="minorEastAsia" w:hAnsiTheme="minorEastAsia" w:eastAsiaTheme="minorEastAsia" w:cstheme="minorEastAsia"/>
          <w:i w:val="0"/>
          <w:iCs w:val="0"/>
          <w:caps w:val="0"/>
          <w:color w:val="3D3D3D"/>
          <w:spacing w:val="0"/>
          <w:sz w:val="30"/>
          <w:szCs w:val="30"/>
          <w:shd w:val="clear" w:fill="FFFFFF"/>
          <w:lang w:val="en-US" w:eastAsia="zh-CN"/>
        </w:rPr>
        <w:t>46</w:t>
      </w:r>
      <w:r>
        <w:rPr>
          <w:rFonts w:hint="eastAsia" w:asciiTheme="minorEastAsia" w:hAnsiTheme="minorEastAsia" w:eastAsiaTheme="minorEastAsia" w:cstheme="minorEastAsia"/>
          <w:i w:val="0"/>
          <w:iCs w:val="0"/>
          <w:caps w:val="0"/>
          <w:color w:val="3D3D3D"/>
          <w:spacing w:val="0"/>
          <w:sz w:val="30"/>
          <w:szCs w:val="30"/>
          <w:shd w:val="clear" w:fill="FFFFFF"/>
        </w:rPr>
        <w:t>人，行政编制</w:t>
      </w:r>
      <w:r>
        <w:rPr>
          <w:rFonts w:hint="eastAsia" w:asciiTheme="minorEastAsia" w:hAnsiTheme="minorEastAsia" w:eastAsiaTheme="minorEastAsia" w:cstheme="minorEastAsia"/>
          <w:i w:val="0"/>
          <w:iCs w:val="0"/>
          <w:caps w:val="0"/>
          <w:color w:val="3D3D3D"/>
          <w:spacing w:val="0"/>
          <w:sz w:val="30"/>
          <w:szCs w:val="30"/>
          <w:shd w:val="clear" w:fill="FFFFFF"/>
          <w:lang w:val="en-US" w:eastAsia="zh-CN"/>
        </w:rPr>
        <w:t>20</w:t>
      </w:r>
      <w:r>
        <w:rPr>
          <w:rFonts w:hint="eastAsia" w:asciiTheme="minorEastAsia" w:hAnsiTheme="minorEastAsia" w:eastAsiaTheme="minorEastAsia" w:cstheme="minorEastAsia"/>
          <w:i w:val="0"/>
          <w:iCs w:val="0"/>
          <w:caps w:val="0"/>
          <w:color w:val="3D3D3D"/>
          <w:spacing w:val="0"/>
          <w:sz w:val="30"/>
          <w:szCs w:val="30"/>
          <w:shd w:val="clear" w:fill="FFFFFF"/>
        </w:rPr>
        <w:t>人，事业编制</w:t>
      </w:r>
      <w:r>
        <w:rPr>
          <w:rFonts w:hint="eastAsia" w:asciiTheme="minorEastAsia" w:hAnsiTheme="minorEastAsia" w:eastAsiaTheme="minorEastAsia" w:cstheme="minorEastAsia"/>
          <w:i w:val="0"/>
          <w:iCs w:val="0"/>
          <w:caps w:val="0"/>
          <w:color w:val="3D3D3D"/>
          <w:spacing w:val="0"/>
          <w:sz w:val="30"/>
          <w:szCs w:val="30"/>
          <w:shd w:val="clear" w:fill="FFFFFF"/>
          <w:lang w:val="en-US" w:eastAsia="zh-CN"/>
        </w:rPr>
        <w:t>26</w:t>
      </w:r>
      <w:r>
        <w:rPr>
          <w:rFonts w:hint="eastAsia" w:asciiTheme="minorEastAsia" w:hAnsiTheme="minorEastAsia" w:eastAsiaTheme="minorEastAsia" w:cstheme="minorEastAsia"/>
          <w:i w:val="0"/>
          <w:iCs w:val="0"/>
          <w:caps w:val="0"/>
          <w:color w:val="3D3D3D"/>
          <w:spacing w:val="0"/>
          <w:sz w:val="30"/>
          <w:szCs w:val="30"/>
          <w:shd w:val="clear" w:fill="FFFFFF"/>
        </w:rPr>
        <w:t>人；实际在编</w:t>
      </w:r>
      <w:r>
        <w:rPr>
          <w:rFonts w:hint="eastAsia" w:asciiTheme="minorEastAsia" w:hAnsiTheme="minorEastAsia" w:eastAsiaTheme="minorEastAsia" w:cstheme="minorEastAsia"/>
          <w:i w:val="0"/>
          <w:iCs w:val="0"/>
          <w:caps w:val="0"/>
          <w:color w:val="3D3D3D"/>
          <w:spacing w:val="0"/>
          <w:sz w:val="30"/>
          <w:szCs w:val="30"/>
          <w:shd w:val="clear" w:fill="FFFFFF"/>
          <w:lang w:val="en-US" w:eastAsia="zh-CN"/>
        </w:rPr>
        <w:t>41</w:t>
      </w:r>
      <w:r>
        <w:rPr>
          <w:rFonts w:hint="eastAsia" w:asciiTheme="minorEastAsia" w:hAnsiTheme="minorEastAsia" w:eastAsiaTheme="minorEastAsia" w:cstheme="minorEastAsia"/>
          <w:i w:val="0"/>
          <w:iCs w:val="0"/>
          <w:caps w:val="0"/>
          <w:color w:val="3D3D3D"/>
          <w:spacing w:val="0"/>
          <w:sz w:val="30"/>
          <w:szCs w:val="30"/>
          <w:shd w:val="clear" w:fill="FFFFFF"/>
        </w:rPr>
        <w:t>人（行政编制</w:t>
      </w:r>
      <w:r>
        <w:rPr>
          <w:rFonts w:hint="eastAsia" w:asciiTheme="minorEastAsia" w:hAnsiTheme="minorEastAsia" w:eastAsiaTheme="minorEastAsia" w:cstheme="minorEastAsia"/>
          <w:i w:val="0"/>
          <w:iCs w:val="0"/>
          <w:caps w:val="0"/>
          <w:color w:val="3D3D3D"/>
          <w:spacing w:val="0"/>
          <w:sz w:val="30"/>
          <w:szCs w:val="30"/>
          <w:shd w:val="clear" w:fill="FFFFFF"/>
          <w:lang w:val="en-US" w:eastAsia="zh-CN"/>
        </w:rPr>
        <w:t>18</w:t>
      </w:r>
      <w:r>
        <w:rPr>
          <w:rFonts w:hint="eastAsia" w:asciiTheme="minorEastAsia" w:hAnsiTheme="minorEastAsia" w:eastAsiaTheme="minorEastAsia" w:cstheme="minorEastAsia"/>
          <w:i w:val="0"/>
          <w:iCs w:val="0"/>
          <w:caps w:val="0"/>
          <w:color w:val="3D3D3D"/>
          <w:spacing w:val="0"/>
          <w:sz w:val="30"/>
          <w:szCs w:val="30"/>
          <w:shd w:val="clear" w:fill="FFFFFF"/>
        </w:rPr>
        <w:t>人，事业编制</w:t>
      </w:r>
      <w:r>
        <w:rPr>
          <w:rFonts w:hint="eastAsia" w:asciiTheme="minorEastAsia" w:hAnsiTheme="minorEastAsia" w:eastAsiaTheme="minorEastAsia" w:cstheme="minorEastAsia"/>
          <w:i w:val="0"/>
          <w:iCs w:val="0"/>
          <w:caps w:val="0"/>
          <w:color w:val="3D3D3D"/>
          <w:spacing w:val="0"/>
          <w:sz w:val="30"/>
          <w:szCs w:val="30"/>
          <w:shd w:val="clear" w:fill="FFFFFF"/>
          <w:lang w:val="en-US" w:eastAsia="zh-CN"/>
        </w:rPr>
        <w:t>23</w:t>
      </w:r>
      <w:r>
        <w:rPr>
          <w:rFonts w:hint="eastAsia" w:asciiTheme="minorEastAsia" w:hAnsiTheme="minorEastAsia" w:eastAsiaTheme="minorEastAsia" w:cstheme="minorEastAsia"/>
          <w:i w:val="0"/>
          <w:iCs w:val="0"/>
          <w:caps w:val="0"/>
          <w:color w:val="3D3D3D"/>
          <w:spacing w:val="0"/>
          <w:sz w:val="30"/>
          <w:szCs w:val="30"/>
          <w:shd w:val="clear" w:fill="FFFFFF"/>
        </w:rPr>
        <w:t>人）。</w:t>
      </w:r>
    </w:p>
    <w:p>
      <w:pPr>
        <w:pStyle w:val="3"/>
        <w:numPr>
          <w:ilvl w:val="0"/>
          <w:numId w:val="1"/>
        </w:numPr>
        <w:bidi w:val="0"/>
        <w:rPr>
          <w:rFonts w:hint="eastAsia"/>
        </w:rPr>
      </w:pPr>
      <w:r>
        <w:rPr>
          <w:rFonts w:hint="eastAsia"/>
          <w:b/>
        </w:rPr>
        <w:t>部门年度总体工作任务和重点工作任务</w:t>
      </w:r>
    </w:p>
    <w:p>
      <w:pPr>
        <w:pStyle w:val="7"/>
        <w:ind w:firstLine="640" w:firstLineChars="20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总体工作任务为执行镇人民代表大会的决议和上级国家行政机关的决定和命令；发展和管理本辖区的经济、教育、科学、文化、卫生、体育事业和财政、民政、公安、司法行政、计划生育等行政工作；维护社会秩序，确保社会稳定，保障公民的人身权利、民主权利和其他权利。重点工作任务有做好防灾减灾、优抚安置、低保、救济等社会救助工作；开展乡村振兴工作、疫情防控工作、乡村环境卫生整治工作等。</w:t>
      </w:r>
    </w:p>
    <w:p>
      <w:pPr>
        <w:pStyle w:val="3"/>
        <w:bidi w:val="0"/>
        <w:rPr>
          <w:rFonts w:hint="eastAsia"/>
          <w:b/>
        </w:rPr>
      </w:pPr>
      <w:r>
        <w:rPr>
          <w:rFonts w:hint="eastAsia"/>
          <w:b/>
        </w:rPr>
        <w:t>（</w:t>
      </w:r>
      <w:r>
        <w:rPr>
          <w:rFonts w:hint="eastAsia"/>
          <w:b/>
          <w:lang w:eastAsia="zh-CN"/>
        </w:rPr>
        <w:t>四</w:t>
      </w:r>
      <w:r>
        <w:rPr>
          <w:rFonts w:hint="eastAsia"/>
          <w:b/>
        </w:rPr>
        <w:t>）部门年度整体收支情况</w:t>
      </w:r>
    </w:p>
    <w:p>
      <w:pPr>
        <w:pStyle w:val="7"/>
        <w:keepNext w:val="0"/>
        <w:keepLines w:val="0"/>
        <w:pageBreakBefore w:val="0"/>
        <w:widowControl w:val="0"/>
        <w:kinsoku/>
        <w:wordWrap/>
        <w:overflowPunct/>
        <w:topLinePunct w:val="0"/>
        <w:autoSpaceDE w:val="0"/>
        <w:autoSpaceDN w:val="0"/>
        <w:bidi w:val="0"/>
        <w:adjustRightInd w:val="0"/>
        <w:snapToGrid/>
        <w:ind w:firstLine="640" w:firstLineChars="200"/>
        <w:jc w:val="both"/>
        <w:textAlignment w:val="auto"/>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2021年度预算收入1042.98万元，决算收入1042.98万元，其中：一般公共预算财政拨款收入1042.98万元。</w:t>
      </w:r>
    </w:p>
    <w:p>
      <w:pPr>
        <w:pStyle w:val="7"/>
        <w:keepNext w:val="0"/>
        <w:keepLines w:val="0"/>
        <w:pageBreakBefore w:val="0"/>
        <w:widowControl w:val="0"/>
        <w:kinsoku/>
        <w:wordWrap/>
        <w:overflowPunct/>
        <w:topLinePunct w:val="0"/>
        <w:autoSpaceDE w:val="0"/>
        <w:autoSpaceDN w:val="0"/>
        <w:bidi w:val="0"/>
        <w:adjustRightInd w:val="0"/>
        <w:snapToGrid/>
        <w:ind w:firstLine="640" w:firstLineChars="200"/>
        <w:jc w:val="both"/>
        <w:textAlignment w:val="auto"/>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2021年度预算支出1444.14万元，决算支出1269.57万元，其中：基本支出1058.03万元，占支出的83.34%；项目支出 211.54万元，占支出的16.66%。 主要用于以下方面：一般公共服务（类）支出942.74万元，社会保障和就业（类）支出114.53万元，卫生健康（类）支出10.38万元，农林水（类）支出133.26万元，住房保障（类）支出63.66万元，灾害防治和应急管理（类）支出5万元。</w:t>
      </w:r>
    </w:p>
    <w:p>
      <w:pPr>
        <w:pStyle w:val="7"/>
        <w:keepNext w:val="0"/>
        <w:keepLines w:val="0"/>
        <w:pageBreakBefore w:val="0"/>
        <w:widowControl w:val="0"/>
        <w:kinsoku/>
        <w:wordWrap/>
        <w:overflowPunct/>
        <w:topLinePunct w:val="0"/>
        <w:autoSpaceDE w:val="0"/>
        <w:autoSpaceDN w:val="0"/>
        <w:bidi w:val="0"/>
        <w:adjustRightInd w:val="0"/>
        <w:snapToGrid/>
        <w:ind w:firstLine="640" w:firstLineChars="200"/>
        <w:jc w:val="both"/>
        <w:textAlignment w:val="auto"/>
        <w:rPr>
          <w:rFonts w:hint="default" w:asciiTheme="minorEastAsia" w:hAnsiTheme="minorEastAsia" w:eastAsiaTheme="minorEastAsia"/>
          <w:sz w:val="32"/>
          <w:szCs w:val="32"/>
          <w:lang w:val="en-US" w:eastAsia="zh-CN"/>
        </w:rPr>
      </w:pPr>
      <w:r>
        <w:rPr>
          <w:rFonts w:hint="default" w:asciiTheme="minorEastAsia" w:hAnsiTheme="minorEastAsia" w:eastAsiaTheme="minorEastAsia"/>
          <w:sz w:val="32"/>
          <w:szCs w:val="32"/>
          <w:lang w:val="en-US" w:eastAsia="zh-CN"/>
        </w:rPr>
        <w:t>三公经费的使用情况如下</w:t>
      </w:r>
      <w:r>
        <w:rPr>
          <w:rFonts w:hint="eastAsia" w:asciiTheme="minorEastAsia" w:hAnsiTheme="minorEastAsia" w:eastAsiaTheme="minorEastAsia"/>
          <w:sz w:val="32"/>
          <w:szCs w:val="32"/>
          <w:lang w:val="en-US" w:eastAsia="zh-CN"/>
        </w:rPr>
        <w:t>：</w:t>
      </w:r>
    </w:p>
    <w:p>
      <w:pPr>
        <w:pStyle w:val="7"/>
        <w:keepNext w:val="0"/>
        <w:keepLines w:val="0"/>
        <w:pageBreakBefore w:val="0"/>
        <w:widowControl w:val="0"/>
        <w:kinsoku/>
        <w:wordWrap/>
        <w:overflowPunct/>
        <w:topLinePunct w:val="0"/>
        <w:autoSpaceDE w:val="0"/>
        <w:autoSpaceDN w:val="0"/>
        <w:bidi w:val="0"/>
        <w:adjustRightInd w:val="0"/>
        <w:snapToGrid/>
        <w:ind w:firstLine="640" w:firstLineChars="200"/>
        <w:jc w:val="both"/>
        <w:textAlignment w:val="auto"/>
        <w:rPr>
          <w:rFonts w:hint="eastAsia" w:asciiTheme="minorEastAsia" w:hAnsiTheme="minorEastAsia" w:eastAsiaTheme="minorEastAsia"/>
          <w:sz w:val="32"/>
          <w:szCs w:val="32"/>
          <w:lang w:val="en-US" w:eastAsia="zh-CN"/>
        </w:rPr>
      </w:pPr>
      <w:r>
        <w:rPr>
          <w:rFonts w:hint="default" w:asciiTheme="minorEastAsia" w:hAnsiTheme="minorEastAsia" w:eastAsiaTheme="minorEastAsia"/>
          <w:sz w:val="32"/>
          <w:szCs w:val="32"/>
          <w:lang w:val="en-US" w:eastAsia="zh-CN"/>
        </w:rPr>
        <w:t>本单位2021“三公”经费实际支出总额23.64万，较上年减少13.32%。其中：公务用车运行维护费11.63万元，较上年减少27.42%。公务接待费12.01万元，较上年增加6.76%。</w:t>
      </w:r>
    </w:p>
    <w:p>
      <w:pPr>
        <w:pStyle w:val="3"/>
        <w:bidi w:val="0"/>
        <w:rPr>
          <w:rFonts w:hint="eastAsia"/>
          <w:b/>
        </w:rPr>
      </w:pPr>
      <w:r>
        <w:rPr>
          <w:rFonts w:hint="eastAsia"/>
          <w:b/>
        </w:rPr>
        <w:t>（</w:t>
      </w:r>
      <w:r>
        <w:rPr>
          <w:rFonts w:hint="eastAsia"/>
          <w:b/>
          <w:lang w:eastAsia="zh-CN"/>
        </w:rPr>
        <w:t>五</w:t>
      </w:r>
      <w:r>
        <w:rPr>
          <w:rFonts w:hint="eastAsia"/>
          <w:b/>
        </w:rPr>
        <w:t>）部门年度整体工作目标任务完成情况</w:t>
      </w:r>
    </w:p>
    <w:p>
      <w:pPr>
        <w:pStyle w:val="7"/>
        <w:keepNext w:val="0"/>
        <w:keepLines w:val="0"/>
        <w:pageBreakBefore w:val="0"/>
        <w:widowControl w:val="0"/>
        <w:kinsoku/>
        <w:wordWrap/>
        <w:overflowPunct/>
        <w:topLinePunct w:val="0"/>
        <w:autoSpaceDE w:val="0"/>
        <w:autoSpaceDN w:val="0"/>
        <w:bidi w:val="0"/>
        <w:adjustRightInd w:val="0"/>
        <w:snapToGrid/>
        <w:ind w:firstLine="640" w:firstLineChars="200"/>
        <w:jc w:val="both"/>
        <w:textAlignment w:val="auto"/>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目标任务基本完成，实现了乡政府正常运转，各职能部门正常履职，对负责的社会事务加强管理，以实现全乡和谐发展、社会稳定；研究制定了全乡农业和农村经济发展规划及年度计划，深化乡村经济体制改革，搞好农村小康建设，加强社会化服务体系建设；指导不断调整产品和产业结构，大力开发新产品，做好技术引进工作；发展农村经济，确保税收稳步增长；督促和指导乡村抓好基础管理工作和安全生产工作。引导农民进行产业结构调整，培育主导产业，促进农民持续稳定增产、增收，做好防汛抗旱、防治大气污染工作，以保证农民的利益。</w:t>
      </w:r>
    </w:p>
    <w:p>
      <w:pPr>
        <w:pStyle w:val="7"/>
        <w:keepNext w:val="0"/>
        <w:keepLines w:val="0"/>
        <w:pageBreakBefore w:val="0"/>
        <w:widowControl w:val="0"/>
        <w:kinsoku/>
        <w:wordWrap/>
        <w:overflowPunct/>
        <w:topLinePunct w:val="0"/>
        <w:autoSpaceDE w:val="0"/>
        <w:autoSpaceDN w:val="0"/>
        <w:bidi w:val="0"/>
        <w:adjustRightInd w:val="0"/>
        <w:snapToGrid/>
        <w:ind w:firstLine="640" w:firstLineChars="200"/>
        <w:jc w:val="both"/>
        <w:textAlignment w:val="auto"/>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精准加大在“三农”、教育、生态环境、社会保障、公共基础设施、就业再就业等方面的投入，改善了公共服务，大力发展和壮大了社会公共事业，着力解决好了人民群众最关心、最直接、最现实的利益问题，统筹兼顾紧紧依靠人民推动改革，确保各项决策部署全面落实，实现社会稳定和长治久安。</w:t>
      </w:r>
    </w:p>
    <w:p>
      <w:pPr>
        <w:pStyle w:val="2"/>
        <w:bidi w:val="0"/>
        <w:rPr>
          <w:rFonts w:hint="eastAsia" w:eastAsia="黑体"/>
          <w:lang w:eastAsia="zh-CN"/>
        </w:rPr>
      </w:pPr>
      <w:r>
        <w:rPr>
          <w:rFonts w:hint="eastAsia"/>
          <w:lang w:eastAsia="zh-CN"/>
        </w:rPr>
        <w:t>二</w:t>
      </w:r>
      <w:r>
        <w:rPr>
          <w:rFonts w:hint="eastAsia"/>
        </w:rPr>
        <w:t>、</w:t>
      </w:r>
      <w:r>
        <w:rPr>
          <w:rFonts w:hint="eastAsia"/>
          <w:lang w:eastAsia="zh-CN"/>
        </w:rPr>
        <w:t>部门整体评价工作开展</w:t>
      </w:r>
    </w:p>
    <w:p>
      <w:pPr>
        <w:pStyle w:val="7"/>
        <w:keepNext w:val="0"/>
        <w:keepLines w:val="0"/>
        <w:pageBreakBefore w:val="0"/>
        <w:widowControl w:val="0"/>
        <w:kinsoku/>
        <w:wordWrap/>
        <w:overflowPunct/>
        <w:topLinePunct w:val="0"/>
        <w:autoSpaceDE w:val="0"/>
        <w:autoSpaceDN w:val="0"/>
        <w:bidi w:val="0"/>
        <w:adjustRightInd w:val="0"/>
        <w:snapToGrid/>
        <w:ind w:firstLine="0" w:firstLineChars="0"/>
        <w:jc w:val="both"/>
        <w:textAlignment w:val="auto"/>
        <w:rPr>
          <w:rFonts w:hint="eastAsia" w:ascii="Times New Roman" w:hAnsi="Times New Roman" w:eastAsia="宋体" w:cs="Times New Roman"/>
          <w:b/>
          <w:color w:val="auto"/>
          <w:kern w:val="2"/>
          <w:sz w:val="32"/>
          <w:szCs w:val="24"/>
          <w:lang w:val="en-US" w:eastAsia="zh-CN" w:bidi="ar-SA"/>
        </w:rPr>
      </w:pPr>
      <w:r>
        <w:rPr>
          <w:rFonts w:hint="eastAsia" w:ascii="Times New Roman" w:hAnsi="Times New Roman" w:eastAsia="宋体" w:cs="Times New Roman"/>
          <w:b/>
          <w:color w:val="auto"/>
          <w:kern w:val="2"/>
          <w:sz w:val="32"/>
          <w:szCs w:val="24"/>
          <w:lang w:val="en-US" w:eastAsia="zh-CN" w:bidi="ar-SA"/>
        </w:rPr>
        <w:t>（一）绩效评价实施过程情况</w:t>
      </w:r>
    </w:p>
    <w:p>
      <w:pPr>
        <w:pStyle w:val="7"/>
        <w:keepNext w:val="0"/>
        <w:keepLines w:val="0"/>
        <w:pageBreakBefore w:val="0"/>
        <w:widowControl w:val="0"/>
        <w:kinsoku/>
        <w:wordWrap/>
        <w:overflowPunct/>
        <w:topLinePunct w:val="0"/>
        <w:autoSpaceDE w:val="0"/>
        <w:autoSpaceDN w:val="0"/>
        <w:bidi w:val="0"/>
        <w:adjustRightInd w:val="0"/>
        <w:snapToGrid/>
        <w:ind w:firstLine="640" w:firstLineChars="200"/>
        <w:jc w:val="both"/>
        <w:textAlignment w:val="auto"/>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1.准备阶段：成立绩效评价工作小组，制定绩效评价工作计划，开展本次绩效评价的培训。</w:t>
      </w:r>
    </w:p>
    <w:p>
      <w:pPr>
        <w:pStyle w:val="7"/>
        <w:keepNext w:val="0"/>
        <w:keepLines w:val="0"/>
        <w:pageBreakBefore w:val="0"/>
        <w:widowControl w:val="0"/>
        <w:kinsoku/>
        <w:wordWrap/>
        <w:overflowPunct/>
        <w:topLinePunct w:val="0"/>
        <w:autoSpaceDE w:val="0"/>
        <w:autoSpaceDN w:val="0"/>
        <w:bidi w:val="0"/>
        <w:adjustRightInd w:val="0"/>
        <w:snapToGrid/>
        <w:ind w:firstLine="640" w:firstLineChars="200"/>
        <w:jc w:val="both"/>
        <w:textAlignment w:val="auto"/>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2.实施阶段：收集初步资料，确定绩效评价方法为成本-效益法、社会功能分析法、因素分析法和最低费用选择法这四种方法，按绩效评价指标体系开展评价。</w:t>
      </w:r>
    </w:p>
    <w:p>
      <w:pPr>
        <w:pStyle w:val="7"/>
        <w:keepNext w:val="0"/>
        <w:keepLines w:val="0"/>
        <w:pageBreakBefore w:val="0"/>
        <w:widowControl w:val="0"/>
        <w:kinsoku/>
        <w:wordWrap/>
        <w:overflowPunct/>
        <w:topLinePunct w:val="0"/>
        <w:autoSpaceDE w:val="0"/>
        <w:autoSpaceDN w:val="0"/>
        <w:bidi w:val="0"/>
        <w:adjustRightInd w:val="0"/>
        <w:snapToGrid/>
        <w:ind w:firstLine="640" w:firstLineChars="200"/>
        <w:jc w:val="both"/>
        <w:textAlignment w:val="auto"/>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3.评价报告撰写：根据绩效评价实施过程中收集的信息和绩效评价指标体系为依据，撰写绩效评价报告。</w:t>
      </w:r>
    </w:p>
    <w:p>
      <w:pPr>
        <w:pStyle w:val="7"/>
        <w:keepNext w:val="0"/>
        <w:keepLines w:val="0"/>
        <w:pageBreakBefore w:val="0"/>
        <w:widowControl w:val="0"/>
        <w:kinsoku/>
        <w:wordWrap/>
        <w:overflowPunct/>
        <w:topLinePunct w:val="0"/>
        <w:autoSpaceDE w:val="0"/>
        <w:autoSpaceDN w:val="0"/>
        <w:bidi w:val="0"/>
        <w:adjustRightInd w:val="0"/>
        <w:snapToGrid/>
        <w:ind w:firstLine="0" w:firstLineChars="0"/>
        <w:jc w:val="both"/>
        <w:textAlignment w:val="auto"/>
        <w:rPr>
          <w:rFonts w:hint="eastAsia" w:ascii="Times New Roman" w:hAnsi="Times New Roman" w:eastAsia="宋体" w:cs="Times New Roman"/>
          <w:b/>
          <w:color w:val="auto"/>
          <w:kern w:val="2"/>
          <w:sz w:val="32"/>
          <w:szCs w:val="24"/>
          <w:lang w:val="en-US" w:eastAsia="zh-CN" w:bidi="ar-SA"/>
        </w:rPr>
      </w:pPr>
      <w:r>
        <w:rPr>
          <w:rFonts w:hint="eastAsia" w:ascii="Times New Roman" w:hAnsi="Times New Roman" w:eastAsia="宋体" w:cs="Times New Roman"/>
          <w:b/>
          <w:color w:val="auto"/>
          <w:kern w:val="2"/>
          <w:sz w:val="32"/>
          <w:szCs w:val="24"/>
          <w:lang w:val="en-US" w:eastAsia="zh-CN" w:bidi="ar-SA"/>
        </w:rPr>
        <w:t>（二）绩效评价整体结果概况</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auto"/>
        <w:ind w:left="0" w:right="0" w:firstLine="600" w:firstLineChars="200"/>
        <w:jc w:val="both"/>
        <w:textAlignment w:val="auto"/>
        <w:rPr>
          <w:rFonts w:hint="eastAsia" w:asciiTheme="minorEastAsia" w:hAnsiTheme="minorEastAsia" w:eastAsiaTheme="minorEastAsia" w:cstheme="minorEastAsia"/>
          <w:i w:val="0"/>
          <w:iCs w:val="0"/>
          <w:caps w:val="0"/>
          <w:color w:val="3D3D3D"/>
          <w:spacing w:val="0"/>
          <w:sz w:val="30"/>
          <w:szCs w:val="30"/>
          <w:shd w:val="clear" w:fill="FFFFFF"/>
        </w:rPr>
      </w:pPr>
      <w:r>
        <w:rPr>
          <w:rFonts w:hint="eastAsia" w:asciiTheme="minorEastAsia" w:hAnsiTheme="minorEastAsia" w:eastAsiaTheme="minorEastAsia" w:cstheme="minorEastAsia"/>
          <w:i w:val="0"/>
          <w:iCs w:val="0"/>
          <w:caps w:val="0"/>
          <w:color w:val="3D3D3D"/>
          <w:spacing w:val="0"/>
          <w:sz w:val="30"/>
          <w:szCs w:val="30"/>
          <w:shd w:val="clear" w:fill="FFFFFF"/>
        </w:rPr>
        <w:t>1、预决算编制情况。我乡及时组织财务人员进行预决算的编制，对本年度相应用款进行及时清理和处理，做到账账相符、账实相符、账证相符，按先有预算再支出的原则，及时处理相关事务；对年度绩效目标进行季度梳理和年度分析，及时上报相关报表；对专项预算提前细化，分科目上报，做到收支平衡。</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eastAsia" w:asciiTheme="minorEastAsia" w:hAnsiTheme="minorEastAsia" w:eastAsiaTheme="minorEastAsia" w:cstheme="minorEastAsia"/>
          <w:i w:val="0"/>
          <w:iCs w:val="0"/>
          <w:caps w:val="0"/>
          <w:color w:val="3D3D3D"/>
          <w:spacing w:val="0"/>
          <w:sz w:val="30"/>
          <w:szCs w:val="30"/>
        </w:rPr>
      </w:pPr>
      <w:r>
        <w:rPr>
          <w:rFonts w:hint="eastAsia" w:asciiTheme="minorEastAsia" w:hAnsiTheme="minorEastAsia" w:eastAsiaTheme="minorEastAsia"/>
          <w:sz w:val="32"/>
          <w:szCs w:val="32"/>
          <w:lang w:val="en-US" w:eastAsia="zh-CN"/>
        </w:rPr>
        <w:t>2.节能降耗情况。</w:t>
      </w:r>
      <w:r>
        <w:rPr>
          <w:rFonts w:hint="eastAsia" w:asciiTheme="minorEastAsia" w:hAnsiTheme="minorEastAsia" w:eastAsiaTheme="minorEastAsia" w:cstheme="minorEastAsia"/>
          <w:i w:val="0"/>
          <w:iCs w:val="0"/>
          <w:caps w:val="0"/>
          <w:color w:val="3D3D3D"/>
          <w:spacing w:val="0"/>
          <w:sz w:val="30"/>
          <w:szCs w:val="30"/>
          <w:shd w:val="clear" w:fill="FFFFFF"/>
        </w:rPr>
        <w:t>我乡严格执行党政机关厉行节约反对浪费之规定，倡导站所工作人员自觉养成艰苦朴素、勤俭节约的良好风尚，进一步推进节约型机关建设，着力降低单位能耗，从细微处着手，培育良好生活、工作习惯，离开办公室要随手关灯，杜绝“长明灯”、“白昼灯”，下班后自觉关闭各类电器设备电源，做到节约用水，增强勤俭节约意识。规范办公用品采购，加强办公用品的使用管理，积极推行网络办公，尽量在电子媒介上撰写、修改文稿，加快推进无纸化办公进程。</w:t>
      </w:r>
    </w:p>
    <w:p>
      <w:pPr>
        <w:pStyle w:val="7"/>
        <w:keepNext w:val="0"/>
        <w:keepLines w:val="0"/>
        <w:pageBreakBefore w:val="0"/>
        <w:widowControl w:val="0"/>
        <w:kinsoku/>
        <w:wordWrap/>
        <w:overflowPunct/>
        <w:topLinePunct w:val="0"/>
        <w:autoSpaceDE w:val="0"/>
        <w:autoSpaceDN w:val="0"/>
        <w:bidi w:val="0"/>
        <w:adjustRightInd w:val="0"/>
        <w:snapToGrid/>
        <w:ind w:firstLine="640" w:firstLineChars="200"/>
        <w:jc w:val="both"/>
        <w:textAlignment w:val="auto"/>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3.三公经费控制情况。</w:t>
      </w:r>
      <w:r>
        <w:rPr>
          <w:rFonts w:hint="default" w:asciiTheme="minorEastAsia" w:hAnsiTheme="minorEastAsia" w:eastAsiaTheme="minorEastAsia"/>
          <w:sz w:val="32"/>
          <w:szCs w:val="32"/>
          <w:lang w:val="en-US" w:eastAsia="zh-CN"/>
        </w:rPr>
        <w:t>本单位“三公”经费总额</w:t>
      </w:r>
      <w:r>
        <w:rPr>
          <w:rFonts w:hint="eastAsia" w:asciiTheme="minorEastAsia" w:hAnsiTheme="minorEastAsia" w:eastAsiaTheme="minorEastAsia"/>
          <w:sz w:val="32"/>
          <w:szCs w:val="32"/>
          <w:lang w:val="en-US" w:eastAsia="zh-CN"/>
        </w:rPr>
        <w:t>2021年预算</w:t>
      </w:r>
      <w:r>
        <w:rPr>
          <w:rFonts w:hint="default" w:asciiTheme="minorEastAsia" w:hAnsiTheme="minorEastAsia" w:eastAsiaTheme="minorEastAsia"/>
          <w:sz w:val="32"/>
          <w:szCs w:val="32"/>
          <w:lang w:val="en-US" w:eastAsia="zh-CN"/>
        </w:rPr>
        <w:t>数为</w:t>
      </w:r>
      <w:r>
        <w:rPr>
          <w:rFonts w:hint="eastAsia" w:asciiTheme="minorEastAsia" w:hAnsiTheme="minorEastAsia" w:eastAsiaTheme="minorEastAsia"/>
          <w:sz w:val="32"/>
          <w:szCs w:val="32"/>
          <w:lang w:val="en-US" w:eastAsia="zh-CN"/>
        </w:rPr>
        <w:t>36</w:t>
      </w:r>
      <w:r>
        <w:rPr>
          <w:rFonts w:hint="default" w:asciiTheme="minorEastAsia" w:hAnsiTheme="minorEastAsia" w:eastAsiaTheme="minorEastAsia"/>
          <w:sz w:val="32"/>
          <w:szCs w:val="32"/>
          <w:lang w:val="en-US" w:eastAsia="zh-CN"/>
        </w:rPr>
        <w:t>万元，其中公务用车运行维护费</w:t>
      </w:r>
      <w:r>
        <w:rPr>
          <w:rFonts w:hint="eastAsia" w:asciiTheme="minorEastAsia" w:hAnsiTheme="minorEastAsia" w:eastAsiaTheme="minorEastAsia"/>
          <w:sz w:val="32"/>
          <w:szCs w:val="32"/>
          <w:lang w:val="en-US" w:eastAsia="zh-CN"/>
        </w:rPr>
        <w:t>18</w:t>
      </w:r>
      <w:r>
        <w:rPr>
          <w:rFonts w:hint="default" w:asciiTheme="minorEastAsia" w:hAnsiTheme="minorEastAsia" w:eastAsiaTheme="minorEastAsia"/>
          <w:sz w:val="32"/>
          <w:szCs w:val="32"/>
          <w:lang w:val="en-US" w:eastAsia="zh-CN"/>
        </w:rPr>
        <w:t>万元，公务接待费</w:t>
      </w:r>
      <w:r>
        <w:rPr>
          <w:rFonts w:hint="eastAsia" w:asciiTheme="minorEastAsia" w:hAnsiTheme="minorEastAsia" w:eastAsiaTheme="minorEastAsia"/>
          <w:sz w:val="32"/>
          <w:szCs w:val="32"/>
          <w:lang w:val="en-US" w:eastAsia="zh-CN"/>
        </w:rPr>
        <w:t>18</w:t>
      </w:r>
      <w:r>
        <w:rPr>
          <w:rFonts w:hint="default" w:asciiTheme="minorEastAsia" w:hAnsiTheme="minorEastAsia" w:eastAsiaTheme="minorEastAsia"/>
          <w:sz w:val="32"/>
          <w:szCs w:val="32"/>
          <w:lang w:val="en-US" w:eastAsia="zh-CN"/>
        </w:rPr>
        <w:t>万元；2021年决算数为</w:t>
      </w:r>
      <w:r>
        <w:rPr>
          <w:rFonts w:hint="eastAsia" w:asciiTheme="minorEastAsia" w:hAnsiTheme="minorEastAsia" w:eastAsiaTheme="minorEastAsia"/>
          <w:sz w:val="32"/>
          <w:szCs w:val="32"/>
          <w:lang w:val="en-US" w:eastAsia="zh-CN"/>
        </w:rPr>
        <w:t>23.64</w:t>
      </w:r>
      <w:r>
        <w:rPr>
          <w:rFonts w:hint="default" w:asciiTheme="minorEastAsia" w:hAnsiTheme="minorEastAsia" w:eastAsiaTheme="minorEastAsia"/>
          <w:sz w:val="32"/>
          <w:szCs w:val="32"/>
          <w:lang w:val="en-US" w:eastAsia="zh-CN"/>
        </w:rPr>
        <w:t>万，其中公务用车运行维护费</w:t>
      </w:r>
      <w:r>
        <w:rPr>
          <w:rFonts w:hint="eastAsia" w:asciiTheme="minorEastAsia" w:hAnsiTheme="minorEastAsia" w:eastAsiaTheme="minorEastAsia"/>
          <w:sz w:val="32"/>
          <w:szCs w:val="32"/>
          <w:lang w:val="en-US" w:eastAsia="zh-CN"/>
        </w:rPr>
        <w:t>11.63</w:t>
      </w:r>
      <w:r>
        <w:rPr>
          <w:rFonts w:hint="default" w:asciiTheme="minorEastAsia" w:hAnsiTheme="minorEastAsia" w:eastAsiaTheme="minorEastAsia"/>
          <w:sz w:val="32"/>
          <w:szCs w:val="32"/>
          <w:lang w:val="en-US" w:eastAsia="zh-CN"/>
        </w:rPr>
        <w:t>万元，</w:t>
      </w:r>
      <w:r>
        <w:rPr>
          <w:rFonts w:hint="eastAsia" w:asciiTheme="minorEastAsia" w:hAnsiTheme="minorEastAsia" w:eastAsiaTheme="minorEastAsia"/>
          <w:sz w:val="32"/>
          <w:szCs w:val="32"/>
          <w:lang w:val="en-US" w:eastAsia="zh-CN"/>
        </w:rPr>
        <w:t>完成预算的64.61%；</w:t>
      </w:r>
      <w:r>
        <w:rPr>
          <w:rFonts w:hint="default" w:asciiTheme="minorEastAsia" w:hAnsiTheme="minorEastAsia" w:eastAsiaTheme="minorEastAsia"/>
          <w:sz w:val="32"/>
          <w:szCs w:val="32"/>
          <w:lang w:val="en-US" w:eastAsia="zh-CN"/>
        </w:rPr>
        <w:t>公务接待费</w:t>
      </w:r>
      <w:r>
        <w:rPr>
          <w:rFonts w:hint="eastAsia" w:asciiTheme="minorEastAsia" w:hAnsiTheme="minorEastAsia" w:eastAsiaTheme="minorEastAsia"/>
          <w:sz w:val="32"/>
          <w:szCs w:val="32"/>
          <w:lang w:val="en-US" w:eastAsia="zh-CN"/>
        </w:rPr>
        <w:t>12.01</w:t>
      </w:r>
      <w:r>
        <w:rPr>
          <w:rFonts w:hint="default" w:asciiTheme="minorEastAsia" w:hAnsiTheme="minorEastAsia" w:eastAsiaTheme="minorEastAsia"/>
          <w:sz w:val="32"/>
          <w:szCs w:val="32"/>
          <w:lang w:val="en-US" w:eastAsia="zh-CN"/>
        </w:rPr>
        <w:t>万元</w:t>
      </w:r>
      <w:r>
        <w:rPr>
          <w:rFonts w:hint="eastAsia" w:asciiTheme="minorEastAsia" w:hAnsiTheme="minorEastAsia" w:eastAsiaTheme="minorEastAsia"/>
          <w:sz w:val="32"/>
          <w:szCs w:val="32"/>
          <w:lang w:val="en-US" w:eastAsia="zh-CN"/>
        </w:rPr>
        <w:t>，完成预算的66.72%。</w:t>
      </w:r>
    </w:p>
    <w:p>
      <w:pPr>
        <w:pStyle w:val="7"/>
        <w:keepNext w:val="0"/>
        <w:keepLines w:val="0"/>
        <w:pageBreakBefore w:val="0"/>
        <w:widowControl w:val="0"/>
        <w:kinsoku/>
        <w:wordWrap/>
        <w:overflowPunct/>
        <w:topLinePunct w:val="0"/>
        <w:autoSpaceDE w:val="0"/>
        <w:autoSpaceDN w:val="0"/>
        <w:bidi w:val="0"/>
        <w:adjustRightInd w:val="0"/>
        <w:snapToGrid/>
        <w:ind w:firstLine="640" w:firstLineChars="200"/>
        <w:jc w:val="both"/>
        <w:textAlignment w:val="auto"/>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4.项目支出管理规范和绩效情况。申报：年初预算环境综合治理项目资金按月进行申报，农村综合治理工作经费按季度进行申报，其他项目待资金下达后一次性申报。项目资金管理：乡政府项目资金管理严格按照用款计划，分月、季度执行，按照项目资金管理办法实行专款专用。绩效情况：按照年初预算项目，实施完成后使全乡环境更优美、经济更稳定、社会更和谐，达到预期经济、社会目标。</w:t>
      </w:r>
    </w:p>
    <w:p>
      <w:pPr>
        <w:pStyle w:val="2"/>
        <w:bidi w:val="0"/>
        <w:rPr>
          <w:rFonts w:hint="default"/>
          <w:lang w:val="en-US" w:eastAsia="zh-CN"/>
        </w:rPr>
      </w:pPr>
      <w:r>
        <w:rPr>
          <w:rFonts w:hint="default"/>
          <w:lang w:val="en-US" w:eastAsia="zh-CN"/>
        </w:rPr>
        <w:t>三、部门整体支出绩效评价分析</w:t>
      </w:r>
    </w:p>
    <w:p>
      <w:pPr>
        <w:pStyle w:val="7"/>
        <w:keepNext w:val="0"/>
        <w:keepLines w:val="0"/>
        <w:pageBreakBefore w:val="0"/>
        <w:widowControl w:val="0"/>
        <w:kinsoku/>
        <w:wordWrap/>
        <w:overflowPunct/>
        <w:topLinePunct w:val="0"/>
        <w:autoSpaceDE w:val="0"/>
        <w:autoSpaceDN w:val="0"/>
        <w:bidi w:val="0"/>
        <w:adjustRightInd w:val="0"/>
        <w:snapToGrid/>
        <w:ind w:firstLine="0" w:firstLineChars="0"/>
        <w:jc w:val="both"/>
        <w:textAlignment w:val="auto"/>
        <w:rPr>
          <w:rFonts w:hint="default" w:ascii="Times New Roman" w:hAnsi="Times New Roman" w:eastAsia="宋体" w:cs="Times New Roman"/>
          <w:b/>
          <w:color w:val="auto"/>
          <w:kern w:val="2"/>
          <w:sz w:val="32"/>
          <w:szCs w:val="24"/>
          <w:lang w:val="en-US" w:eastAsia="zh-CN" w:bidi="ar-SA"/>
        </w:rPr>
      </w:pPr>
      <w:r>
        <w:rPr>
          <w:rFonts w:hint="default" w:ascii="Times New Roman" w:hAnsi="Times New Roman" w:eastAsia="宋体" w:cs="Times New Roman"/>
          <w:b/>
          <w:color w:val="auto"/>
          <w:kern w:val="2"/>
          <w:sz w:val="32"/>
          <w:szCs w:val="24"/>
          <w:lang w:val="en-US" w:eastAsia="zh-CN" w:bidi="ar-SA"/>
        </w:rPr>
        <w:t>（一）投入情况分析</w:t>
      </w:r>
    </w:p>
    <w:p>
      <w:pPr>
        <w:pStyle w:val="7"/>
        <w:keepNext w:val="0"/>
        <w:keepLines w:val="0"/>
        <w:pageBreakBefore w:val="0"/>
        <w:widowControl w:val="0"/>
        <w:kinsoku/>
        <w:wordWrap/>
        <w:overflowPunct/>
        <w:topLinePunct w:val="0"/>
        <w:autoSpaceDE w:val="0"/>
        <w:autoSpaceDN w:val="0"/>
        <w:bidi w:val="0"/>
        <w:adjustRightInd w:val="0"/>
        <w:snapToGrid/>
        <w:ind w:firstLine="640" w:firstLineChars="200"/>
        <w:jc w:val="both"/>
        <w:textAlignment w:val="auto"/>
        <w:rPr>
          <w:rFonts w:hint="default"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投入情况分析</w:t>
      </w:r>
      <w:r>
        <w:rPr>
          <w:rFonts w:hint="default" w:asciiTheme="minorEastAsia" w:hAnsiTheme="minorEastAsia" w:eastAsiaTheme="minorEastAsia"/>
          <w:sz w:val="32"/>
          <w:szCs w:val="32"/>
          <w:lang w:val="en-US" w:eastAsia="zh-CN"/>
        </w:rPr>
        <w:t>包括</w:t>
      </w:r>
      <w:r>
        <w:rPr>
          <w:rFonts w:hint="eastAsia" w:asciiTheme="minorEastAsia" w:hAnsiTheme="minorEastAsia" w:eastAsiaTheme="minorEastAsia"/>
          <w:sz w:val="32"/>
          <w:szCs w:val="32"/>
          <w:lang w:val="en-US" w:eastAsia="zh-CN"/>
        </w:rPr>
        <w:t>目</w:t>
      </w:r>
      <w:r>
        <w:rPr>
          <w:rFonts w:hint="default" w:asciiTheme="minorEastAsia" w:hAnsiTheme="minorEastAsia" w:eastAsiaTheme="minorEastAsia"/>
          <w:sz w:val="32"/>
          <w:szCs w:val="32"/>
          <w:lang w:val="en-US" w:eastAsia="zh-CN"/>
        </w:rPr>
        <w:t>标设定和预算配置2个二级指标，</w:t>
      </w:r>
      <w:r>
        <w:rPr>
          <w:rFonts w:hint="eastAsia" w:asciiTheme="minorEastAsia" w:hAnsiTheme="minorEastAsia" w:eastAsiaTheme="minorEastAsia"/>
          <w:sz w:val="32"/>
          <w:szCs w:val="32"/>
          <w:lang w:val="en-US" w:eastAsia="zh-CN"/>
        </w:rPr>
        <w:t>职责明确</w:t>
      </w:r>
      <w:r>
        <w:rPr>
          <w:rFonts w:hint="default" w:asciiTheme="minorEastAsia" w:hAnsiTheme="minorEastAsia" w:eastAsiaTheme="minorEastAsia"/>
          <w:sz w:val="32"/>
          <w:szCs w:val="32"/>
          <w:lang w:val="en-US" w:eastAsia="zh-CN"/>
        </w:rPr>
        <w:t>、</w:t>
      </w:r>
      <w:r>
        <w:rPr>
          <w:rFonts w:hint="eastAsia" w:asciiTheme="minorEastAsia" w:hAnsiTheme="minorEastAsia" w:eastAsiaTheme="minorEastAsia"/>
          <w:sz w:val="32"/>
          <w:szCs w:val="32"/>
          <w:lang w:val="en-US" w:eastAsia="zh-CN"/>
        </w:rPr>
        <w:t>活动</w:t>
      </w:r>
      <w:r>
        <w:rPr>
          <w:rFonts w:hint="default" w:asciiTheme="minorEastAsia" w:hAnsiTheme="minorEastAsia" w:eastAsiaTheme="minorEastAsia"/>
          <w:sz w:val="32"/>
          <w:szCs w:val="32"/>
          <w:lang w:val="en-US" w:eastAsia="zh-CN"/>
        </w:rPr>
        <w:t>合规性、</w:t>
      </w:r>
      <w:r>
        <w:rPr>
          <w:rFonts w:hint="eastAsia" w:asciiTheme="minorEastAsia" w:hAnsiTheme="minorEastAsia" w:eastAsiaTheme="minorEastAsia"/>
          <w:sz w:val="32"/>
          <w:szCs w:val="32"/>
          <w:lang w:val="en-US" w:eastAsia="zh-CN"/>
        </w:rPr>
        <w:t>活动</w:t>
      </w:r>
      <w:r>
        <w:rPr>
          <w:rFonts w:hint="default" w:asciiTheme="minorEastAsia" w:hAnsiTheme="minorEastAsia" w:eastAsiaTheme="minorEastAsia"/>
          <w:sz w:val="32"/>
          <w:szCs w:val="32"/>
          <w:lang w:val="en-US" w:eastAsia="zh-CN"/>
        </w:rPr>
        <w:t>合理性、财政供养人员控制率、“三公经费”变动率和重点项目支出安排率等</w:t>
      </w:r>
      <w:r>
        <w:rPr>
          <w:rFonts w:hint="eastAsia" w:asciiTheme="minorEastAsia" w:hAnsiTheme="minorEastAsia" w:eastAsiaTheme="minorEastAsia"/>
          <w:sz w:val="32"/>
          <w:szCs w:val="32"/>
          <w:lang w:val="en-US" w:eastAsia="zh-CN"/>
        </w:rPr>
        <w:t>8</w:t>
      </w:r>
      <w:r>
        <w:rPr>
          <w:rFonts w:hint="default" w:asciiTheme="minorEastAsia" w:hAnsiTheme="minorEastAsia" w:eastAsiaTheme="minorEastAsia"/>
          <w:sz w:val="32"/>
          <w:szCs w:val="32"/>
          <w:lang w:val="en-US" w:eastAsia="zh-CN"/>
        </w:rPr>
        <w:t>个三级指标。该</w:t>
      </w:r>
      <w:r>
        <w:rPr>
          <w:rFonts w:hint="eastAsia" w:asciiTheme="minorEastAsia" w:hAnsiTheme="minorEastAsia" w:eastAsiaTheme="minorEastAsia"/>
          <w:sz w:val="32"/>
          <w:szCs w:val="32"/>
          <w:lang w:val="en-US" w:eastAsia="zh-CN"/>
        </w:rPr>
        <w:t>一</w:t>
      </w:r>
      <w:r>
        <w:rPr>
          <w:rFonts w:hint="default" w:asciiTheme="minorEastAsia" w:hAnsiTheme="minorEastAsia" w:eastAsiaTheme="minorEastAsia"/>
          <w:sz w:val="32"/>
          <w:szCs w:val="32"/>
          <w:lang w:val="en-US" w:eastAsia="zh-CN"/>
        </w:rPr>
        <w:t>级指标满分15分，实际得分为</w:t>
      </w:r>
      <w:r>
        <w:rPr>
          <w:rFonts w:hint="eastAsia" w:asciiTheme="minorEastAsia" w:hAnsiTheme="minorEastAsia" w:eastAsiaTheme="minorEastAsia"/>
          <w:sz w:val="32"/>
          <w:szCs w:val="32"/>
          <w:lang w:val="en-US" w:eastAsia="zh-CN"/>
        </w:rPr>
        <w:t>14.5</w:t>
      </w:r>
      <w:r>
        <w:rPr>
          <w:rFonts w:hint="default" w:asciiTheme="minorEastAsia" w:hAnsiTheme="minorEastAsia" w:eastAsiaTheme="minorEastAsia"/>
          <w:sz w:val="32"/>
          <w:szCs w:val="32"/>
          <w:lang w:val="en-US" w:eastAsia="zh-CN"/>
        </w:rPr>
        <w:t>分。</w:t>
      </w:r>
    </w:p>
    <w:p>
      <w:pPr>
        <w:pStyle w:val="7"/>
        <w:keepNext w:val="0"/>
        <w:keepLines w:val="0"/>
        <w:pageBreakBefore w:val="0"/>
        <w:widowControl w:val="0"/>
        <w:kinsoku/>
        <w:wordWrap/>
        <w:overflowPunct/>
        <w:topLinePunct w:val="0"/>
        <w:autoSpaceDE w:val="0"/>
        <w:autoSpaceDN w:val="0"/>
        <w:bidi w:val="0"/>
        <w:adjustRightInd w:val="0"/>
        <w:snapToGrid/>
        <w:ind w:firstLine="0" w:firstLineChars="0"/>
        <w:jc w:val="both"/>
        <w:textAlignment w:val="auto"/>
        <w:rPr>
          <w:rFonts w:hint="default" w:ascii="Times New Roman" w:hAnsi="Times New Roman" w:eastAsia="宋体" w:cs="Times New Roman"/>
          <w:b/>
          <w:color w:val="auto"/>
          <w:kern w:val="2"/>
          <w:sz w:val="32"/>
          <w:szCs w:val="24"/>
          <w:lang w:val="en-US" w:eastAsia="zh-CN" w:bidi="ar-SA"/>
        </w:rPr>
      </w:pPr>
    </w:p>
    <w:p>
      <w:pPr>
        <w:pStyle w:val="7"/>
        <w:keepNext w:val="0"/>
        <w:keepLines w:val="0"/>
        <w:pageBreakBefore w:val="0"/>
        <w:widowControl w:val="0"/>
        <w:numPr>
          <w:ilvl w:val="0"/>
          <w:numId w:val="2"/>
        </w:numPr>
        <w:kinsoku/>
        <w:wordWrap/>
        <w:overflowPunct/>
        <w:topLinePunct w:val="0"/>
        <w:autoSpaceDE w:val="0"/>
        <w:autoSpaceDN w:val="0"/>
        <w:bidi w:val="0"/>
        <w:adjustRightInd w:val="0"/>
        <w:snapToGrid/>
        <w:ind w:firstLine="0" w:firstLineChars="0"/>
        <w:jc w:val="both"/>
        <w:textAlignment w:val="auto"/>
        <w:rPr>
          <w:rFonts w:hint="default" w:ascii="Times New Roman" w:hAnsi="Times New Roman" w:eastAsia="宋体" w:cs="Times New Roman"/>
          <w:b/>
          <w:color w:val="auto"/>
          <w:kern w:val="2"/>
          <w:sz w:val="32"/>
          <w:szCs w:val="24"/>
          <w:lang w:val="en-US" w:eastAsia="zh-CN" w:bidi="ar-SA"/>
        </w:rPr>
      </w:pPr>
      <w:r>
        <w:rPr>
          <w:rFonts w:hint="default" w:ascii="Times New Roman" w:hAnsi="Times New Roman" w:eastAsia="宋体" w:cs="Times New Roman"/>
          <w:b/>
          <w:color w:val="auto"/>
          <w:kern w:val="2"/>
          <w:sz w:val="32"/>
          <w:szCs w:val="24"/>
          <w:lang w:val="en-US" w:eastAsia="zh-CN" w:bidi="ar-SA"/>
        </w:rPr>
        <w:t>执行管理情况分析</w:t>
      </w:r>
    </w:p>
    <w:p>
      <w:pPr>
        <w:pStyle w:val="7"/>
        <w:keepNext w:val="0"/>
        <w:keepLines w:val="0"/>
        <w:pageBreakBefore w:val="0"/>
        <w:widowControl w:val="0"/>
        <w:kinsoku/>
        <w:wordWrap/>
        <w:overflowPunct/>
        <w:topLinePunct w:val="0"/>
        <w:autoSpaceDE w:val="0"/>
        <w:autoSpaceDN w:val="0"/>
        <w:bidi w:val="0"/>
        <w:adjustRightInd w:val="0"/>
        <w:snapToGrid/>
        <w:ind w:firstLine="640" w:firstLineChars="200"/>
        <w:jc w:val="both"/>
        <w:textAlignment w:val="auto"/>
        <w:rPr>
          <w:rFonts w:hint="default" w:ascii="Times New Roman" w:hAnsi="Times New Roman" w:eastAsia="宋体" w:cs="Times New Roman"/>
          <w:b/>
          <w:color w:val="auto"/>
          <w:kern w:val="2"/>
          <w:sz w:val="32"/>
          <w:szCs w:val="24"/>
          <w:lang w:val="en-US" w:eastAsia="zh-CN" w:bidi="ar-SA"/>
        </w:rPr>
      </w:pPr>
      <w:r>
        <w:rPr>
          <w:rFonts w:hint="default" w:asciiTheme="minorEastAsia" w:hAnsiTheme="minorEastAsia" w:eastAsiaTheme="minorEastAsia"/>
          <w:sz w:val="32"/>
          <w:szCs w:val="32"/>
          <w:lang w:val="en-US" w:eastAsia="zh-CN"/>
        </w:rPr>
        <w:t>该</w:t>
      </w:r>
      <w:r>
        <w:rPr>
          <w:rFonts w:hint="eastAsia" w:asciiTheme="minorEastAsia" w:hAnsiTheme="minorEastAsia" w:eastAsiaTheme="minorEastAsia"/>
          <w:sz w:val="32"/>
          <w:szCs w:val="32"/>
          <w:lang w:val="en-US" w:eastAsia="zh-CN"/>
        </w:rPr>
        <w:t>一</w:t>
      </w:r>
      <w:r>
        <w:rPr>
          <w:rFonts w:hint="default" w:asciiTheme="minorEastAsia" w:hAnsiTheme="minorEastAsia" w:eastAsiaTheme="minorEastAsia"/>
          <w:sz w:val="32"/>
          <w:szCs w:val="32"/>
          <w:lang w:val="en-US" w:eastAsia="zh-CN"/>
        </w:rPr>
        <w:t>级指标满分</w:t>
      </w:r>
      <w:r>
        <w:rPr>
          <w:rFonts w:hint="eastAsia" w:asciiTheme="minorEastAsia" w:hAnsiTheme="minorEastAsia" w:eastAsiaTheme="minorEastAsia"/>
          <w:sz w:val="32"/>
          <w:szCs w:val="32"/>
          <w:lang w:val="en-US" w:eastAsia="zh-CN"/>
        </w:rPr>
        <w:t>55</w:t>
      </w:r>
      <w:r>
        <w:rPr>
          <w:rFonts w:hint="default" w:asciiTheme="minorEastAsia" w:hAnsiTheme="minorEastAsia" w:eastAsiaTheme="minorEastAsia"/>
          <w:sz w:val="32"/>
          <w:szCs w:val="32"/>
          <w:lang w:val="en-US" w:eastAsia="zh-CN"/>
        </w:rPr>
        <w:t>分，实际得分为</w:t>
      </w:r>
      <w:r>
        <w:rPr>
          <w:rFonts w:hint="eastAsia" w:asciiTheme="minorEastAsia" w:hAnsiTheme="minorEastAsia" w:eastAsiaTheme="minorEastAsia"/>
          <w:sz w:val="32"/>
          <w:szCs w:val="32"/>
          <w:lang w:val="en-US" w:eastAsia="zh-CN"/>
        </w:rPr>
        <w:t>55</w:t>
      </w:r>
      <w:r>
        <w:rPr>
          <w:rFonts w:hint="default" w:asciiTheme="minorEastAsia" w:hAnsiTheme="minorEastAsia" w:eastAsiaTheme="minorEastAsia"/>
          <w:sz w:val="32"/>
          <w:szCs w:val="32"/>
          <w:lang w:val="en-US" w:eastAsia="zh-CN"/>
        </w:rPr>
        <w:t>分。</w:t>
      </w:r>
    </w:p>
    <w:p>
      <w:pPr>
        <w:pStyle w:val="7"/>
        <w:keepNext w:val="0"/>
        <w:keepLines w:val="0"/>
        <w:pageBreakBefore w:val="0"/>
        <w:widowControl w:val="0"/>
        <w:numPr>
          <w:ilvl w:val="0"/>
          <w:numId w:val="2"/>
        </w:numPr>
        <w:kinsoku/>
        <w:wordWrap/>
        <w:overflowPunct/>
        <w:topLinePunct w:val="0"/>
        <w:autoSpaceDE w:val="0"/>
        <w:autoSpaceDN w:val="0"/>
        <w:bidi w:val="0"/>
        <w:adjustRightInd w:val="0"/>
        <w:snapToGrid/>
        <w:ind w:left="0" w:leftChars="0" w:firstLine="0" w:firstLineChars="0"/>
        <w:jc w:val="both"/>
        <w:textAlignment w:val="auto"/>
        <w:rPr>
          <w:rFonts w:hint="default" w:ascii="Times New Roman" w:hAnsi="Times New Roman" w:eastAsia="宋体" w:cs="Times New Roman"/>
          <w:b/>
          <w:color w:val="auto"/>
          <w:kern w:val="2"/>
          <w:sz w:val="32"/>
          <w:szCs w:val="24"/>
          <w:lang w:val="en-US" w:eastAsia="zh-CN" w:bidi="ar-SA"/>
        </w:rPr>
      </w:pPr>
      <w:r>
        <w:rPr>
          <w:rFonts w:hint="default" w:ascii="Times New Roman" w:hAnsi="Times New Roman" w:eastAsia="宋体" w:cs="Times New Roman"/>
          <w:b/>
          <w:color w:val="auto"/>
          <w:kern w:val="2"/>
          <w:sz w:val="32"/>
          <w:szCs w:val="24"/>
          <w:lang w:val="en-US" w:eastAsia="zh-CN" w:bidi="ar-SA"/>
        </w:rPr>
        <w:t>支出绩效情况分析</w:t>
      </w:r>
    </w:p>
    <w:p>
      <w:pPr>
        <w:pStyle w:val="7"/>
        <w:keepNext w:val="0"/>
        <w:keepLines w:val="0"/>
        <w:pageBreakBefore w:val="0"/>
        <w:widowControl w:val="0"/>
        <w:kinsoku/>
        <w:wordWrap/>
        <w:overflowPunct/>
        <w:topLinePunct w:val="0"/>
        <w:autoSpaceDE w:val="0"/>
        <w:autoSpaceDN w:val="0"/>
        <w:bidi w:val="0"/>
        <w:adjustRightInd w:val="0"/>
        <w:snapToGrid/>
        <w:ind w:firstLine="640" w:firstLineChars="200"/>
        <w:jc w:val="both"/>
        <w:textAlignment w:val="auto"/>
        <w:rPr>
          <w:rFonts w:hint="default" w:ascii="Times New Roman" w:hAnsi="Times New Roman" w:eastAsia="宋体" w:cs="Times New Roman"/>
          <w:b/>
          <w:color w:val="auto"/>
          <w:kern w:val="2"/>
          <w:sz w:val="32"/>
          <w:szCs w:val="24"/>
          <w:lang w:val="en-US" w:eastAsia="zh-CN" w:bidi="ar-SA"/>
        </w:rPr>
      </w:pPr>
      <w:r>
        <w:rPr>
          <w:rFonts w:hint="default" w:asciiTheme="minorEastAsia" w:hAnsiTheme="minorEastAsia" w:eastAsiaTheme="minorEastAsia"/>
          <w:sz w:val="32"/>
          <w:szCs w:val="32"/>
          <w:lang w:val="en-US" w:eastAsia="zh-CN"/>
        </w:rPr>
        <w:t>该</w:t>
      </w:r>
      <w:r>
        <w:rPr>
          <w:rFonts w:hint="eastAsia" w:asciiTheme="minorEastAsia" w:hAnsiTheme="minorEastAsia" w:eastAsiaTheme="minorEastAsia"/>
          <w:sz w:val="32"/>
          <w:szCs w:val="32"/>
          <w:lang w:val="en-US" w:eastAsia="zh-CN"/>
        </w:rPr>
        <w:t>一</w:t>
      </w:r>
      <w:r>
        <w:rPr>
          <w:rFonts w:hint="default" w:asciiTheme="minorEastAsia" w:hAnsiTheme="minorEastAsia" w:eastAsiaTheme="minorEastAsia"/>
          <w:sz w:val="32"/>
          <w:szCs w:val="32"/>
          <w:lang w:val="en-US" w:eastAsia="zh-CN"/>
        </w:rPr>
        <w:t>级指标满分</w:t>
      </w:r>
      <w:r>
        <w:rPr>
          <w:rFonts w:hint="eastAsia" w:asciiTheme="minorEastAsia" w:hAnsiTheme="minorEastAsia" w:eastAsiaTheme="minorEastAsia"/>
          <w:sz w:val="32"/>
          <w:szCs w:val="32"/>
          <w:lang w:val="en-US" w:eastAsia="zh-CN"/>
        </w:rPr>
        <w:t>30</w:t>
      </w:r>
      <w:r>
        <w:rPr>
          <w:rFonts w:hint="default" w:asciiTheme="minorEastAsia" w:hAnsiTheme="minorEastAsia" w:eastAsiaTheme="minorEastAsia"/>
          <w:sz w:val="32"/>
          <w:szCs w:val="32"/>
          <w:lang w:val="en-US" w:eastAsia="zh-CN"/>
        </w:rPr>
        <w:t>分，实际得分为</w:t>
      </w:r>
      <w:r>
        <w:rPr>
          <w:rFonts w:hint="eastAsia" w:asciiTheme="minorEastAsia" w:hAnsiTheme="minorEastAsia" w:eastAsiaTheme="minorEastAsia"/>
          <w:sz w:val="32"/>
          <w:szCs w:val="32"/>
          <w:lang w:val="en-US" w:eastAsia="zh-CN"/>
        </w:rPr>
        <w:t>30</w:t>
      </w:r>
      <w:r>
        <w:rPr>
          <w:rFonts w:hint="default" w:asciiTheme="minorEastAsia" w:hAnsiTheme="minorEastAsia" w:eastAsiaTheme="minorEastAsia"/>
          <w:sz w:val="32"/>
          <w:szCs w:val="32"/>
          <w:lang w:val="en-US" w:eastAsia="zh-CN"/>
        </w:rPr>
        <w:t>分。</w:t>
      </w:r>
    </w:p>
    <w:p>
      <w:pPr>
        <w:pStyle w:val="2"/>
        <w:numPr>
          <w:ilvl w:val="0"/>
          <w:numId w:val="3"/>
        </w:numPr>
        <w:bidi w:val="0"/>
        <w:rPr>
          <w:rFonts w:hint="default"/>
          <w:lang w:val="en-US" w:eastAsia="zh-CN"/>
        </w:rPr>
      </w:pPr>
      <w:r>
        <w:rPr>
          <w:rFonts w:hint="default"/>
          <w:lang w:val="en-US" w:eastAsia="zh-CN"/>
        </w:rPr>
        <w:t>存在的问题</w:t>
      </w:r>
    </w:p>
    <w:p>
      <w:pPr>
        <w:keepNext w:val="0"/>
        <w:keepLines w:val="0"/>
        <w:pageBreakBefore w:val="0"/>
        <w:widowControl w:val="0"/>
        <w:numPr>
          <w:numId w:val="0"/>
        </w:numPr>
        <w:kinsoku/>
        <w:wordWrap/>
        <w:overflowPunct/>
        <w:topLinePunct w:val="0"/>
        <w:autoSpaceDE/>
        <w:autoSpaceDN/>
        <w:bidi w:val="0"/>
        <w:adjustRightInd/>
        <w:snapToGrid/>
        <w:ind w:firstLine="640" w:firstLineChars="200"/>
        <w:textAlignment w:val="auto"/>
        <w:rPr>
          <w:rFonts w:hint="default"/>
          <w:lang w:val="en-US" w:eastAsia="zh-CN"/>
        </w:rPr>
      </w:pPr>
      <w:r>
        <w:rPr>
          <w:rFonts w:hint="default" w:cs="黑体" w:asciiTheme="minorEastAsia" w:hAnsiTheme="minorEastAsia" w:eastAsiaTheme="minorEastAsia"/>
          <w:color w:val="000000"/>
          <w:kern w:val="0"/>
          <w:sz w:val="32"/>
          <w:szCs w:val="32"/>
          <w:lang w:val="en-US" w:eastAsia="zh-CN" w:bidi="ar-SA"/>
        </w:rPr>
        <w:t>预算编制工作有待细化。预算编制不够明确和细化</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预算编制的合理性需要提高</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预算执行力度还要进一步加强</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公用经费控制有一定难度</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基本为刚性支出。</w:t>
      </w:r>
    </w:p>
    <w:p>
      <w:pPr>
        <w:pStyle w:val="2"/>
        <w:numPr>
          <w:ilvl w:val="0"/>
          <w:numId w:val="3"/>
        </w:numPr>
        <w:bidi w:val="0"/>
        <w:ind w:left="0" w:leftChars="0" w:firstLine="0" w:firstLineChars="0"/>
        <w:rPr>
          <w:rFonts w:hint="default"/>
          <w:lang w:val="en-US" w:eastAsia="zh-CN"/>
        </w:rPr>
      </w:pPr>
      <w:r>
        <w:rPr>
          <w:rFonts w:hint="default"/>
          <w:lang w:val="en-US" w:eastAsia="zh-CN"/>
        </w:rPr>
        <w:t>整改措施或建议</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default" w:cs="黑体" w:asciiTheme="minorEastAsia" w:hAnsiTheme="minorEastAsia" w:eastAsiaTheme="minorEastAsia"/>
          <w:color w:val="000000"/>
          <w:kern w:val="0"/>
          <w:sz w:val="32"/>
          <w:szCs w:val="32"/>
          <w:lang w:val="en-US" w:eastAsia="zh-CN" w:bidi="ar-SA"/>
        </w:rPr>
      </w:pPr>
      <w:r>
        <w:rPr>
          <w:rFonts w:hint="eastAsia" w:cs="黑体" w:asciiTheme="minorEastAsia" w:hAnsiTheme="minorEastAsia" w:eastAsiaTheme="minorEastAsia"/>
          <w:color w:val="000000"/>
          <w:kern w:val="0"/>
          <w:sz w:val="32"/>
          <w:szCs w:val="32"/>
          <w:lang w:val="en-US" w:eastAsia="zh-CN" w:bidi="ar-SA"/>
        </w:rPr>
        <w:t>1、</w:t>
      </w:r>
      <w:r>
        <w:rPr>
          <w:rFonts w:hint="default" w:cs="黑体" w:asciiTheme="minorEastAsia" w:hAnsiTheme="minorEastAsia" w:eastAsiaTheme="minorEastAsia"/>
          <w:color w:val="000000"/>
          <w:kern w:val="0"/>
          <w:sz w:val="32"/>
          <w:szCs w:val="32"/>
          <w:lang w:val="en-US" w:eastAsia="zh-CN" w:bidi="ar-SA"/>
        </w:rPr>
        <w:t>细化预算编制工作</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认真做好预算的编制</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进</w:t>
      </w:r>
      <w:r>
        <w:rPr>
          <w:rFonts w:hint="eastAsia" w:cs="黑体" w:asciiTheme="minorEastAsia" w:hAnsiTheme="minorEastAsia" w:eastAsiaTheme="minorEastAsia"/>
          <w:color w:val="000000"/>
          <w:kern w:val="0"/>
          <w:sz w:val="32"/>
          <w:szCs w:val="32"/>
          <w:lang w:val="en-US" w:eastAsia="zh-CN" w:bidi="ar-SA"/>
        </w:rPr>
        <w:t>一</w:t>
      </w:r>
      <w:r>
        <w:rPr>
          <w:rFonts w:hint="default" w:cs="黑体" w:asciiTheme="minorEastAsia" w:hAnsiTheme="minorEastAsia" w:eastAsiaTheme="minorEastAsia"/>
          <w:color w:val="000000"/>
          <w:kern w:val="0"/>
          <w:sz w:val="32"/>
          <w:szCs w:val="32"/>
          <w:lang w:val="en-US" w:eastAsia="zh-CN" w:bidi="ar-SA"/>
        </w:rPr>
        <w:t>步加强单位内部机构的预算管理意识</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严格按照预算编制的相关制度和要求进行预算编制</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全面编制预算项目</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优先保障固定性的</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相对刚性的费用支出项目</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 xml:space="preserve"> 尽量压缩变动性的</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有控制空间的费用项目</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进一步提高预算编制的科学性</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严谨性和可控性</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加强内部预算编制的审核和预算控制指标的下达</w:t>
      </w:r>
      <w:r>
        <w:rPr>
          <w:rFonts w:hint="eastAsia" w:cs="黑体" w:asciiTheme="minorEastAsia" w:hAnsiTheme="minorEastAsia" w:eastAsiaTheme="minorEastAsia"/>
          <w:color w:val="000000"/>
          <w:kern w:val="0"/>
          <w:sz w:val="32"/>
          <w:szCs w:val="32"/>
          <w:lang w:val="en-US" w:eastAsia="zh-CN" w:bidi="ar-SA"/>
        </w:rPr>
        <w:t>。</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default" w:cs="黑体" w:asciiTheme="minorEastAsia" w:hAnsiTheme="minorEastAsia" w:eastAsiaTheme="minorEastAsia"/>
          <w:color w:val="000000"/>
          <w:kern w:val="0"/>
          <w:sz w:val="32"/>
          <w:szCs w:val="32"/>
          <w:lang w:val="en-US" w:eastAsia="zh-CN" w:bidi="ar-SA"/>
        </w:rPr>
      </w:pPr>
      <w:r>
        <w:rPr>
          <w:rFonts w:hint="eastAsia" w:cs="黑体" w:asciiTheme="minorEastAsia" w:hAnsiTheme="minorEastAsia" w:eastAsiaTheme="minorEastAsia"/>
          <w:color w:val="000000"/>
          <w:kern w:val="0"/>
          <w:sz w:val="32"/>
          <w:szCs w:val="32"/>
          <w:lang w:val="en-US" w:eastAsia="zh-CN" w:bidi="ar-SA"/>
        </w:rPr>
        <w:t>2、</w:t>
      </w:r>
      <w:r>
        <w:rPr>
          <w:rFonts w:hint="default" w:cs="黑体" w:asciiTheme="minorEastAsia" w:hAnsiTheme="minorEastAsia" w:eastAsiaTheme="minorEastAsia"/>
          <w:color w:val="000000"/>
          <w:kern w:val="0"/>
          <w:sz w:val="32"/>
          <w:szCs w:val="32"/>
          <w:lang w:val="en-US" w:eastAsia="zh-CN" w:bidi="ar-SA"/>
        </w:rPr>
        <w:t>完善资产管理</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抓好</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三公</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经费控制</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严格编制政府采购年初预算和计划</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规范各类资产的购置审批制度</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资产出租出借和收入管理制度</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资产采购制度</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使用管理制度</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资产处置和报废审批制度</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资产管理岗位职责制度等</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加强单位内部的资产管理工作</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严格控制</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三公</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经费的规模和比例</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把关</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三公</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经费支出的审核</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审批</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杜绝挪用和挤占其他预算资金行为</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进一步细化</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三公</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经费的管理</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合理压缩</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三公</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经费支出</w:t>
      </w:r>
      <w:r>
        <w:rPr>
          <w:rFonts w:hint="eastAsia" w:cs="黑体" w:asciiTheme="minorEastAsia" w:hAnsiTheme="minorEastAsia" w:eastAsiaTheme="minorEastAsia"/>
          <w:color w:val="000000"/>
          <w:kern w:val="0"/>
          <w:sz w:val="32"/>
          <w:szCs w:val="32"/>
          <w:lang w:val="en-US" w:eastAsia="zh-CN" w:bidi="ar-SA"/>
        </w:rPr>
        <w:t>。</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default" w:cs="黑体" w:asciiTheme="minorEastAsia" w:hAnsiTheme="minorEastAsia" w:eastAsiaTheme="minorEastAsia"/>
          <w:color w:val="000000"/>
          <w:kern w:val="0"/>
          <w:sz w:val="32"/>
          <w:szCs w:val="32"/>
          <w:lang w:val="en-US" w:eastAsia="zh-CN" w:bidi="ar-SA"/>
        </w:rPr>
      </w:pPr>
      <w:r>
        <w:rPr>
          <w:rFonts w:hint="eastAsia" w:cs="黑体" w:asciiTheme="minorEastAsia" w:hAnsiTheme="minorEastAsia" w:eastAsiaTheme="minorEastAsia"/>
          <w:color w:val="000000"/>
          <w:kern w:val="0"/>
          <w:sz w:val="32"/>
          <w:szCs w:val="32"/>
          <w:lang w:val="en-US" w:eastAsia="zh-CN" w:bidi="ar-SA"/>
        </w:rPr>
        <w:t>3、</w:t>
      </w:r>
      <w:r>
        <w:rPr>
          <w:rFonts w:hint="default" w:cs="黑体" w:asciiTheme="minorEastAsia" w:hAnsiTheme="minorEastAsia" w:eastAsiaTheme="minorEastAsia"/>
          <w:color w:val="000000"/>
          <w:kern w:val="0"/>
          <w:sz w:val="32"/>
          <w:szCs w:val="32"/>
          <w:lang w:val="en-US" w:eastAsia="zh-CN" w:bidi="ar-SA"/>
        </w:rPr>
        <w:t>对相关人员加强培训</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特别是针对《预算法》《行政事业单位会计制度》等学习培训</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规范部门预算收支核算</w:t>
      </w:r>
      <w:r>
        <w:rPr>
          <w:rFonts w:hint="eastAsia" w:cs="黑体" w:asciiTheme="minorEastAsia" w:hAnsiTheme="minorEastAsia" w:eastAsiaTheme="minorEastAsia"/>
          <w:color w:val="000000"/>
          <w:kern w:val="0"/>
          <w:sz w:val="32"/>
          <w:szCs w:val="32"/>
          <w:lang w:val="en-US" w:eastAsia="zh-CN" w:bidi="ar-SA"/>
        </w:rPr>
        <w:t>，</w:t>
      </w:r>
      <w:r>
        <w:rPr>
          <w:rFonts w:hint="default" w:cs="黑体" w:asciiTheme="minorEastAsia" w:hAnsiTheme="minorEastAsia" w:eastAsiaTheme="minorEastAsia"/>
          <w:color w:val="000000"/>
          <w:kern w:val="0"/>
          <w:sz w:val="32"/>
          <w:szCs w:val="32"/>
          <w:lang w:val="en-US" w:eastAsia="zh-CN" w:bidi="ar-SA"/>
        </w:rPr>
        <w:t>切实提高部</w:t>
      </w:r>
      <w:r>
        <w:rPr>
          <w:rFonts w:hint="eastAsia" w:cs="黑体" w:asciiTheme="minorEastAsia" w:hAnsiTheme="minorEastAsia" w:eastAsiaTheme="minorEastAsia"/>
          <w:color w:val="000000"/>
          <w:kern w:val="0"/>
          <w:sz w:val="32"/>
          <w:szCs w:val="32"/>
          <w:lang w:val="en-US" w:eastAsia="zh-CN" w:bidi="ar-SA"/>
        </w:rPr>
        <w:t>门</w:t>
      </w:r>
      <w:r>
        <w:rPr>
          <w:rFonts w:hint="default" w:cs="黑体" w:asciiTheme="minorEastAsia" w:hAnsiTheme="minorEastAsia" w:eastAsiaTheme="minorEastAsia"/>
          <w:color w:val="000000"/>
          <w:kern w:val="0"/>
          <w:sz w:val="32"/>
          <w:szCs w:val="32"/>
          <w:lang w:val="en-US" w:eastAsia="zh-CN" w:bidi="ar-SA"/>
        </w:rPr>
        <w:t>预算收支管理水平</w:t>
      </w:r>
      <w:r>
        <w:rPr>
          <w:rFonts w:hint="eastAsia" w:cs="黑体" w:asciiTheme="minorEastAsia" w:hAnsiTheme="minorEastAsia" w:eastAsiaTheme="minorEastAsia"/>
          <w:color w:val="000000"/>
          <w:kern w:val="0"/>
          <w:sz w:val="32"/>
          <w:szCs w:val="32"/>
          <w:lang w:val="en-US" w:eastAsia="zh-CN" w:bidi="ar-SA"/>
        </w:rPr>
        <w:t>。</w:t>
      </w:r>
    </w:p>
    <w:p>
      <w:pPr>
        <w:pStyle w:val="2"/>
        <w:numPr>
          <w:ilvl w:val="0"/>
          <w:numId w:val="3"/>
        </w:numPr>
        <w:bidi w:val="0"/>
        <w:ind w:left="0" w:leftChars="0" w:firstLine="0" w:firstLineChars="0"/>
        <w:rPr>
          <w:rFonts w:hint="default"/>
          <w:lang w:val="en-US" w:eastAsia="zh-CN"/>
        </w:rPr>
      </w:pPr>
      <w:r>
        <w:rPr>
          <w:rFonts w:hint="default"/>
          <w:lang w:val="en-US" w:eastAsia="zh-CN"/>
        </w:rPr>
        <w:t>其他需要说明的问题</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default" w:cs="黑体" w:asciiTheme="minorEastAsia" w:hAnsiTheme="minorEastAsia" w:eastAsiaTheme="minorEastAsia"/>
          <w:color w:val="000000"/>
          <w:kern w:val="0"/>
          <w:sz w:val="32"/>
          <w:szCs w:val="32"/>
          <w:lang w:val="en-US" w:eastAsia="zh-CN" w:bidi="ar-SA"/>
        </w:rPr>
      </w:pPr>
      <w:r>
        <w:rPr>
          <w:rFonts w:hint="eastAsia" w:cs="黑体" w:asciiTheme="minorEastAsia" w:hAnsiTheme="minorEastAsia" w:eastAsiaTheme="minorEastAsia"/>
          <w:color w:val="000000"/>
          <w:kern w:val="0"/>
          <w:sz w:val="32"/>
          <w:szCs w:val="32"/>
          <w:lang w:val="en-US" w:eastAsia="zh-CN" w:bidi="ar-SA"/>
        </w:rPr>
        <w:t>无</w:t>
      </w:r>
    </w:p>
    <w:p>
      <w:pPr>
        <w:pStyle w:val="7"/>
        <w:rPr>
          <w:rFonts w:hint="eastAsia" w:asciiTheme="minorEastAsia" w:hAnsiTheme="minorEastAsia" w:eastAsiaTheme="minorEastAsia"/>
          <w:sz w:val="32"/>
          <w:szCs w:val="32"/>
          <w:lang w:val="en-US" w:eastAsia="zh-CN"/>
        </w:rPr>
      </w:pP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napToGrid/>
        <w:spacing w:before="0" w:beforeAutospacing="0" w:after="225" w:afterAutospacing="0" w:line="240" w:lineRule="auto"/>
        <w:ind w:left="0" w:right="0" w:firstLine="600" w:firstLineChars="200"/>
        <w:jc w:val="both"/>
        <w:textAlignment w:val="auto"/>
        <w:rPr>
          <w:rFonts w:hint="eastAsia" w:asciiTheme="minorEastAsia" w:hAnsiTheme="minorEastAsia" w:eastAsiaTheme="minorEastAsia" w:cstheme="minorEastAsia"/>
          <w:i w:val="0"/>
          <w:iCs w:val="0"/>
          <w:caps w:val="0"/>
          <w:color w:val="3D3D3D"/>
          <w:spacing w:val="0"/>
          <w:sz w:val="30"/>
          <w:szCs w:val="30"/>
          <w:shd w:val="clear" w:fill="FFFFFF"/>
          <w:lang w:eastAsia="zh-CN"/>
        </w:rPr>
      </w:pP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napToGrid/>
        <w:spacing w:before="0" w:beforeAutospacing="0" w:after="225" w:afterAutospacing="0" w:line="240" w:lineRule="auto"/>
        <w:ind w:left="0" w:right="0" w:firstLine="600" w:firstLineChars="200"/>
        <w:jc w:val="right"/>
        <w:textAlignment w:val="auto"/>
        <w:rPr>
          <w:rFonts w:hint="eastAsia" w:asciiTheme="minorEastAsia" w:hAnsiTheme="minorEastAsia" w:eastAsiaTheme="minorEastAsia" w:cstheme="minorEastAsia"/>
          <w:i w:val="0"/>
          <w:iCs w:val="0"/>
          <w:caps w:val="0"/>
          <w:color w:val="3D3D3D"/>
          <w:spacing w:val="0"/>
          <w:sz w:val="30"/>
          <w:szCs w:val="30"/>
          <w:shd w:val="clear" w:fill="FFFFFF"/>
          <w:lang w:eastAsia="zh-CN"/>
        </w:rPr>
      </w:pPr>
      <w:r>
        <w:rPr>
          <w:rFonts w:hint="eastAsia" w:asciiTheme="minorEastAsia" w:hAnsiTheme="minorEastAsia" w:eastAsiaTheme="minorEastAsia" w:cstheme="minorEastAsia"/>
          <w:i w:val="0"/>
          <w:iCs w:val="0"/>
          <w:caps w:val="0"/>
          <w:color w:val="3D3D3D"/>
          <w:spacing w:val="0"/>
          <w:sz w:val="30"/>
          <w:szCs w:val="30"/>
          <w:shd w:val="clear" w:fill="FFFFFF"/>
          <w:lang w:eastAsia="zh-CN"/>
        </w:rPr>
        <w:t>辰溪县仙人湾瑶族乡人民政府</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bidi w:val="0"/>
        <w:snapToGrid/>
        <w:spacing w:before="0" w:beforeAutospacing="0" w:after="225" w:afterAutospacing="0" w:line="240" w:lineRule="auto"/>
        <w:ind w:left="0" w:right="0" w:firstLine="600" w:firstLineChars="200"/>
        <w:jc w:val="right"/>
        <w:textAlignment w:val="auto"/>
        <w:rPr>
          <w:rFonts w:hint="default" w:asciiTheme="minorEastAsia" w:hAnsiTheme="minorEastAsia" w:eastAsiaTheme="minorEastAsia" w:cstheme="minorEastAsia"/>
          <w:i w:val="0"/>
          <w:iCs w:val="0"/>
          <w:caps w:val="0"/>
          <w:color w:val="3D3D3D"/>
          <w:spacing w:val="0"/>
          <w:sz w:val="30"/>
          <w:szCs w:val="30"/>
          <w:shd w:val="clear" w:fill="FFFFFF"/>
          <w:lang w:val="en-US" w:eastAsia="zh-CN"/>
        </w:rPr>
      </w:pPr>
      <w:r>
        <w:rPr>
          <w:rFonts w:hint="eastAsia" w:asciiTheme="minorEastAsia" w:hAnsiTheme="minorEastAsia" w:eastAsiaTheme="minorEastAsia" w:cstheme="minorEastAsia"/>
          <w:i w:val="0"/>
          <w:iCs w:val="0"/>
          <w:caps w:val="0"/>
          <w:color w:val="3D3D3D"/>
          <w:spacing w:val="0"/>
          <w:sz w:val="30"/>
          <w:szCs w:val="30"/>
          <w:shd w:val="clear" w:fill="FFFFFF"/>
          <w:lang w:val="en-US" w:eastAsia="zh-CN"/>
        </w:rPr>
        <w:t>2022年4月1</w:t>
      </w:r>
      <w:bookmarkStart w:id="0" w:name="_GoBack"/>
      <w:bookmarkEnd w:id="0"/>
      <w:r>
        <w:rPr>
          <w:rFonts w:hint="eastAsia" w:asciiTheme="minorEastAsia" w:hAnsiTheme="minorEastAsia" w:eastAsiaTheme="minorEastAsia" w:cstheme="minorEastAsia"/>
          <w:i w:val="0"/>
          <w:iCs w:val="0"/>
          <w:caps w:val="0"/>
          <w:color w:val="3D3D3D"/>
          <w:spacing w:val="0"/>
          <w:sz w:val="30"/>
          <w:szCs w:val="30"/>
          <w:shd w:val="clear" w:fill="FFFFFF"/>
          <w:lang w:val="en-US" w:eastAsia="zh-CN"/>
        </w:rPr>
        <w:t xml:space="preserve">0日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altName w:val="SimSun-ExtB"/>
    <w:panose1 w:val="00000000000000000000"/>
    <w:charset w:val="86"/>
    <w:family w:val="script"/>
    <w:pitch w:val="default"/>
    <w:sig w:usb0="00000000" w:usb1="00000000" w:usb2="00000010" w:usb3="00000000" w:csb0="00040000" w:csb1="00000000"/>
  </w:font>
  <w:font w:name="SimSun-ExtB">
    <w:panose1 w:val="02010609060101010101"/>
    <w:charset w:val="86"/>
    <w:family w:val="auto"/>
    <w:pitch w:val="default"/>
    <w:sig w:usb0="00000001" w:usb1="02000000" w:usb2="00000000" w:usb3="00000000" w:csb0="00040001"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1909FB6"/>
    <w:multiLevelType w:val="singleLevel"/>
    <w:tmpl w:val="B1909FB6"/>
    <w:lvl w:ilvl="0" w:tentative="0">
      <w:start w:val="3"/>
      <w:numFmt w:val="chineseCounting"/>
      <w:suff w:val="nothing"/>
      <w:lvlText w:val="（%1）"/>
      <w:lvlJc w:val="left"/>
      <w:rPr>
        <w:rFonts w:hint="eastAsia"/>
      </w:rPr>
    </w:lvl>
  </w:abstractNum>
  <w:abstractNum w:abstractNumId="1">
    <w:nsid w:val="FFFB620C"/>
    <w:multiLevelType w:val="singleLevel"/>
    <w:tmpl w:val="FFFB620C"/>
    <w:lvl w:ilvl="0" w:tentative="0">
      <w:start w:val="4"/>
      <w:numFmt w:val="chineseCounting"/>
      <w:suff w:val="nothing"/>
      <w:lvlText w:val="%1、"/>
      <w:lvlJc w:val="left"/>
      <w:rPr>
        <w:rFonts w:hint="eastAsia"/>
      </w:rPr>
    </w:lvl>
  </w:abstractNum>
  <w:abstractNum w:abstractNumId="2">
    <w:nsid w:val="730021FC"/>
    <w:multiLevelType w:val="singleLevel"/>
    <w:tmpl w:val="730021FC"/>
    <w:lvl w:ilvl="0" w:tentative="0">
      <w:start w:val="2"/>
      <w:numFmt w:val="chineseCounting"/>
      <w:suff w:val="nothing"/>
      <w:lvlText w:val="（%1）"/>
      <w:lvlJc w:val="left"/>
      <w:rPr>
        <w:rFonts w:hint="eastAsi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ABE64D9"/>
    <w:rsid w:val="010271F8"/>
    <w:rsid w:val="02385327"/>
    <w:rsid w:val="02B7449E"/>
    <w:rsid w:val="03201418"/>
    <w:rsid w:val="034C72DC"/>
    <w:rsid w:val="05B253F0"/>
    <w:rsid w:val="06532730"/>
    <w:rsid w:val="0660189D"/>
    <w:rsid w:val="070E6657"/>
    <w:rsid w:val="082C148A"/>
    <w:rsid w:val="08C20994"/>
    <w:rsid w:val="09B90AFC"/>
    <w:rsid w:val="0BC1013B"/>
    <w:rsid w:val="0E7D2A40"/>
    <w:rsid w:val="10ED3781"/>
    <w:rsid w:val="117F087D"/>
    <w:rsid w:val="12CF3495"/>
    <w:rsid w:val="13C407C9"/>
    <w:rsid w:val="14A30D26"/>
    <w:rsid w:val="15DB629E"/>
    <w:rsid w:val="19E576EB"/>
    <w:rsid w:val="1A8B64E4"/>
    <w:rsid w:val="1BA50EE0"/>
    <w:rsid w:val="1BC7354C"/>
    <w:rsid w:val="1D24677C"/>
    <w:rsid w:val="22555F21"/>
    <w:rsid w:val="226C09A9"/>
    <w:rsid w:val="25284070"/>
    <w:rsid w:val="258E5F2E"/>
    <w:rsid w:val="268D7140"/>
    <w:rsid w:val="27EE1E60"/>
    <w:rsid w:val="295201CD"/>
    <w:rsid w:val="2B7E174D"/>
    <w:rsid w:val="2C02237E"/>
    <w:rsid w:val="2C2F668E"/>
    <w:rsid w:val="2ED40002"/>
    <w:rsid w:val="2EE840D4"/>
    <w:rsid w:val="2F5E78CC"/>
    <w:rsid w:val="2F631386"/>
    <w:rsid w:val="2FD22068"/>
    <w:rsid w:val="318836E5"/>
    <w:rsid w:val="338D4C23"/>
    <w:rsid w:val="34572652"/>
    <w:rsid w:val="34AA5361"/>
    <w:rsid w:val="35494B7A"/>
    <w:rsid w:val="363D052C"/>
    <w:rsid w:val="39CD5D7A"/>
    <w:rsid w:val="3A865F28"/>
    <w:rsid w:val="3C2974B3"/>
    <w:rsid w:val="3CCD6091"/>
    <w:rsid w:val="40AE7F87"/>
    <w:rsid w:val="419E624E"/>
    <w:rsid w:val="42A63910"/>
    <w:rsid w:val="43576F37"/>
    <w:rsid w:val="44A8366B"/>
    <w:rsid w:val="460C5E7C"/>
    <w:rsid w:val="47411B55"/>
    <w:rsid w:val="474433F3"/>
    <w:rsid w:val="47463E06"/>
    <w:rsid w:val="484336AB"/>
    <w:rsid w:val="48A222E2"/>
    <w:rsid w:val="49644F6E"/>
    <w:rsid w:val="4CD60F91"/>
    <w:rsid w:val="4D626381"/>
    <w:rsid w:val="51B353FD"/>
    <w:rsid w:val="530A54F1"/>
    <w:rsid w:val="54136B3B"/>
    <w:rsid w:val="547075D6"/>
    <w:rsid w:val="57A777B2"/>
    <w:rsid w:val="583D38AF"/>
    <w:rsid w:val="58F654E1"/>
    <w:rsid w:val="594B0611"/>
    <w:rsid w:val="5ABE64D9"/>
    <w:rsid w:val="5AC16DDD"/>
    <w:rsid w:val="5AC70A65"/>
    <w:rsid w:val="5BC5795E"/>
    <w:rsid w:val="5C34538D"/>
    <w:rsid w:val="5F571ABE"/>
    <w:rsid w:val="5FE80968"/>
    <w:rsid w:val="60E6759D"/>
    <w:rsid w:val="613D4CE3"/>
    <w:rsid w:val="63163A3E"/>
    <w:rsid w:val="666B02FF"/>
    <w:rsid w:val="699851AD"/>
    <w:rsid w:val="6BC238C1"/>
    <w:rsid w:val="6C3B5BF4"/>
    <w:rsid w:val="6CA939CF"/>
    <w:rsid w:val="6E8757F0"/>
    <w:rsid w:val="6F745D74"/>
    <w:rsid w:val="6FD71C4D"/>
    <w:rsid w:val="70E707C8"/>
    <w:rsid w:val="713E2ADE"/>
    <w:rsid w:val="720D24B0"/>
    <w:rsid w:val="72907369"/>
    <w:rsid w:val="73E334C8"/>
    <w:rsid w:val="742111C4"/>
    <w:rsid w:val="762D4ECF"/>
    <w:rsid w:val="76EC3252"/>
    <w:rsid w:val="779276DF"/>
    <w:rsid w:val="792F71B0"/>
    <w:rsid w:val="79A742C4"/>
    <w:rsid w:val="7BC952A8"/>
    <w:rsid w:val="7D6E02A7"/>
    <w:rsid w:val="7D970417"/>
    <w:rsid w:val="7EEA6DA1"/>
    <w:rsid w:val="7FE90625"/>
    <w:rsid w:val="7FEB20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paragraph" w:styleId="3">
    <w:name w:val="heading 3"/>
    <w:basedOn w:val="1"/>
    <w:next w:val="1"/>
    <w:unhideWhenUsed/>
    <w:qFormat/>
    <w:uiPriority w:val="0"/>
    <w:pPr>
      <w:keepNext/>
      <w:keepLines/>
      <w:spacing w:before="260" w:beforeLines="0" w:beforeAutospacing="0" w:after="260" w:afterLines="0" w:afterAutospacing="0" w:line="413" w:lineRule="auto"/>
      <w:outlineLvl w:val="2"/>
    </w:pPr>
    <w:rPr>
      <w:b/>
      <w:sz w:val="32"/>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4">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7">
    <w:name w:val="Default"/>
    <w:qFormat/>
    <w:uiPriority w:val="0"/>
    <w:pPr>
      <w:widowControl w:val="0"/>
      <w:autoSpaceDE w:val="0"/>
      <w:autoSpaceDN w:val="0"/>
      <w:adjustRightInd w:val="0"/>
    </w:pPr>
    <w:rPr>
      <w:rFonts w:ascii="黑体" w:eastAsia="黑体" w:cs="黑体" w:hAnsiTheme="minorHAnsi"/>
      <w:color w:val="000000"/>
      <w:kern w:val="0"/>
      <w:sz w:val="24"/>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15</Pages>
  <Words>5941</Words>
  <Characters>6357</Characters>
  <Lines>0</Lines>
  <Paragraphs>0</Paragraphs>
  <TotalTime>1</TotalTime>
  <ScaleCrop>false</ScaleCrop>
  <LinksUpToDate>false</LinksUpToDate>
  <CharactersWithSpaces>6388</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2021-09-07T03:07:00Z</dcterms:created>
  <dc:creator>空</dc:creator>
  <cp:lastModifiedBy>small</cp:lastModifiedBy>
  <cp:lastPrinted>2022-04-10T07:22:00Z</cp:lastPrinted>
  <dcterms:modified xsi:type="dcterms:W3CDTF">2022-04-17T07:51:35Z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A8DF20EEE1FC47B68C9E370ED7C9B9B0</vt:lpwstr>
  </property>
</Properties>
</file>