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eastAsia"/>
          <w:bCs/>
          <w:color w:val="FF0000"/>
          <w:sz w:val="48"/>
          <w:szCs w:val="48"/>
        </w:rPr>
      </w:pPr>
    </w:p>
    <w:p>
      <w:pPr>
        <w:pStyle w:val="2"/>
        <w:widowControl/>
        <w:jc w:val="center"/>
        <w:rPr>
          <w:rFonts w:hint="eastAsia"/>
          <w:bCs/>
          <w:color w:val="FF0000"/>
          <w:sz w:val="48"/>
          <w:szCs w:val="48"/>
        </w:rPr>
      </w:pPr>
    </w:p>
    <w:p>
      <w:pPr>
        <w:pStyle w:val="2"/>
        <w:widowControl/>
        <w:jc w:val="center"/>
        <w:rPr>
          <w:rFonts w:hint="eastAsia"/>
          <w:bCs/>
          <w:color w:val="FF0000"/>
          <w:sz w:val="48"/>
          <w:szCs w:val="48"/>
        </w:rPr>
      </w:pPr>
    </w:p>
    <w:p>
      <w:pPr>
        <w:pStyle w:val="2"/>
        <w:widowControl/>
        <w:jc w:val="center"/>
        <w:rPr>
          <w:rFonts w:hint="eastAsia"/>
          <w:bCs/>
          <w:color w:val="FF0000"/>
          <w:sz w:val="48"/>
          <w:szCs w:val="48"/>
        </w:rPr>
      </w:pPr>
    </w:p>
    <w:p>
      <w:pPr>
        <w:pStyle w:val="2"/>
        <w:widowControl/>
        <w:jc w:val="center"/>
        <w:rPr>
          <w:rFonts w:hint="eastAsia"/>
          <w:bCs/>
          <w:color w:val="FF0000"/>
          <w:sz w:val="48"/>
          <w:szCs w:val="48"/>
        </w:rPr>
      </w:pPr>
      <w:bookmarkStart w:id="0" w:name="_GoBack"/>
      <w:bookmarkEnd w:id="0"/>
    </w:p>
    <w:p>
      <w:pPr>
        <w:pStyle w:val="2"/>
        <w:widowControl/>
        <w:jc w:val="center"/>
        <w:rPr>
          <w:rFonts w:hint="eastAsia"/>
          <w:bCs/>
          <w:color w:val="FF0000"/>
          <w:sz w:val="48"/>
          <w:szCs w:val="48"/>
        </w:rPr>
      </w:pPr>
    </w:p>
    <w:p>
      <w:pPr>
        <w:pStyle w:val="2"/>
        <w:widowControl/>
        <w:jc w:val="center"/>
        <w:rPr>
          <w:rFonts w:hint="eastAsia"/>
          <w:bCs/>
          <w:color w:val="FF0000"/>
          <w:sz w:val="48"/>
          <w:szCs w:val="48"/>
        </w:rPr>
      </w:pPr>
    </w:p>
    <w:p>
      <w:pPr>
        <w:pStyle w:val="2"/>
        <w:widowControl/>
        <w:jc w:val="center"/>
        <w:rPr>
          <w:rFonts w:hint="eastAsia"/>
          <w:bCs/>
          <w:color w:val="FF0000"/>
          <w:sz w:val="48"/>
          <w:szCs w:val="48"/>
        </w:rPr>
      </w:pPr>
    </w:p>
    <w:p>
      <w:pPr>
        <w:pStyle w:val="2"/>
        <w:widowControl/>
        <w:jc w:val="center"/>
        <w:rPr>
          <w:rFonts w:hint="eastAsia"/>
          <w:bCs/>
          <w:color w:val="FF0000"/>
          <w:sz w:val="48"/>
          <w:szCs w:val="48"/>
        </w:rPr>
      </w:pPr>
      <w:r>
        <w:rPr>
          <w:rFonts w:hint="eastAsia"/>
          <w:bCs/>
          <w:color w:val="FF0000"/>
          <w:sz w:val="48"/>
          <w:szCs w:val="48"/>
        </w:rPr>
        <w:t>辰溪县</w:t>
      </w:r>
      <w:r>
        <w:rPr>
          <w:rFonts w:hint="eastAsia"/>
          <w:bCs/>
          <w:color w:val="FF0000"/>
          <w:sz w:val="48"/>
          <w:szCs w:val="48"/>
          <w:lang w:eastAsia="zh-CN"/>
        </w:rPr>
        <w:t>仙人湾瑶族</w:t>
      </w:r>
      <w:r>
        <w:rPr>
          <w:bCs/>
          <w:color w:val="FF0000"/>
          <w:sz w:val="48"/>
          <w:szCs w:val="48"/>
        </w:rPr>
        <w:t>乡</w:t>
      </w:r>
      <w:r>
        <w:rPr>
          <w:rFonts w:hint="eastAsia"/>
          <w:bCs/>
          <w:color w:val="FF0000"/>
          <w:sz w:val="48"/>
          <w:szCs w:val="48"/>
        </w:rPr>
        <w:t>人民政府文件</w:t>
      </w:r>
    </w:p>
    <w:p>
      <w:pPr>
        <w:rPr>
          <w:rFonts w:hint="eastAsia"/>
          <w:color w:val="2A67B8"/>
          <w:sz w:val="45"/>
          <w:szCs w:val="45"/>
        </w:rPr>
      </w:pPr>
      <w:r>
        <w:rPr>
          <w:sz w:val="4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272415</wp:posOffset>
                </wp:positionV>
                <wp:extent cx="50914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18895" y="2573655"/>
                          <a:ext cx="50914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.85pt;margin-top:21.45pt;height:0pt;width:400.9pt;z-index:251659264;mso-width-relative:page;mso-height-relative:page;" filled="f" stroked="t" coordsize="21600,21600" o:gfxdata="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q+m7tUAAAAIAQAADwAAAAAAAAABACAAAAAiAAAAZHJzL2Rvd25yZXYueG1sUEsBAhQA&#10;FAAAAAgAh07iQGwAcXX1AQAAvgMAAA4AAAAAAAAAAQAgAAAAJAEAAGRycy9lMm9Eb2MueG1sUEsF&#10;BgAAAAAGAAYAWQEAAIsFAAAAAA=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方正小标宋_GBK"/>
          <w:sz w:val="36"/>
          <w:szCs w:val="36"/>
        </w:rPr>
        <w:t>辰溪县</w:t>
      </w:r>
      <w:r>
        <w:rPr>
          <w:rFonts w:hint="eastAsia" w:eastAsia="方正小标宋_GBK"/>
          <w:sz w:val="36"/>
          <w:szCs w:val="36"/>
          <w:lang w:eastAsia="zh-CN"/>
        </w:rPr>
        <w:t>仙人湾瑶族乡</w:t>
      </w:r>
      <w:r>
        <w:rPr>
          <w:rFonts w:hint="eastAsia" w:eastAsia="方正小标宋_GBK"/>
          <w:sz w:val="36"/>
          <w:szCs w:val="36"/>
        </w:rPr>
        <w:t>人民政府2020年度部门整体支出绩效评价报告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一、决算支出概况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（一）单位基本情况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辰溪县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仙人湾瑶族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乡人民政府基本职能：承担促进经济发展、搞好公共服务、加强社会管理、维护社会稳定等综合职能。具体职能如下：1、认真贯彻国家的方针政策、法律、法规，严格遵循财经纪律和各项规章制度。2、执行本级人民代表大会的决议和上级国家行政机关的决定和命令。3、执行本行政区域内的经济和社会发展计划、预算，管理本行政区域内的经济、教育、科学、文化、卫健、体育事业和财政、民政、司法行政等行政工作。4、保护社会主义的全民所有的财产和劳动群众集体所有的财产，保护公民私人所有的合法财产，维护社会秩序，保障公民的人身权利、民主权利和其他权利。5、保护各种经济组织的合法权益。6、办理上级人民政府交办的其他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人员情况：截至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2020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年底，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仙人湾瑶族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乡人民政府核定人员编制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人，行政编制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人，事业编制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人；实际在编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46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人（行政编制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人，事业编制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人）。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机构设置及资产情况：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仙人湾瑶族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乡人民政府属全额行政机关，是一级部门预算单位，根据编制部门机构改革批复方案，内设党政办公室、党建办公室、经济发展办公室、社会事务办公室、社会治安和应急管理办公室、自然资源和生态环境办公室、社会事务综合服务中心、农业综合服务中心、便民服务中心、综合行政执法大队、财政所。</w:t>
      </w:r>
    </w:p>
    <w:p>
      <w:pPr>
        <w:pStyle w:val="3"/>
        <w:bidi w:val="0"/>
        <w:rPr>
          <w:rFonts w:hint="eastAsia"/>
          <w:b/>
        </w:rPr>
      </w:pPr>
      <w:r>
        <w:rPr>
          <w:rFonts w:hint="eastAsia"/>
          <w:b/>
        </w:rPr>
        <w:t>（二）决算资金基本情况</w:t>
      </w:r>
    </w:p>
    <w:p>
      <w:pPr>
        <w:pStyle w:val="7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共取得</w:t>
      </w:r>
      <w:r>
        <w:rPr>
          <w:rFonts w:hint="eastAsia" w:asciiTheme="minorEastAsia" w:hAnsiTheme="minorEastAsia" w:eastAsiaTheme="minorEastAsia"/>
          <w:sz w:val="32"/>
          <w:szCs w:val="32"/>
        </w:rPr>
        <w:t>收入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1069.29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</w:t>
      </w:r>
      <w:r>
        <w:rPr>
          <w:rFonts w:hint="eastAsia" w:asciiTheme="minorEastAsia" w:hAnsiTheme="minorEastAsia" w:eastAsiaTheme="minorEastAsia"/>
          <w:sz w:val="32"/>
          <w:szCs w:val="32"/>
        </w:rPr>
        <w:t>元，其中：财政拨款收入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1069.29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%；上级补助收入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%；事业收入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%；附属单位上缴收入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%；其他收入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7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2020年度财政拨款支出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931.61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万元，主要用于以下方面：一般公共服务（类）支出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676.95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72.66</w:t>
      </w:r>
      <w:r>
        <w:rPr>
          <w:rFonts w:hint="eastAsia" w:asciiTheme="minorEastAsia" w:hAnsiTheme="minorEastAsia" w:eastAsiaTheme="minorEastAsia"/>
          <w:sz w:val="32"/>
          <w:szCs w:val="32"/>
        </w:rPr>
        <w:t>%；社会保障和就业（类）支出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81.55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8.75</w:t>
      </w:r>
      <w:r>
        <w:rPr>
          <w:rFonts w:hint="eastAsia" w:asciiTheme="minorEastAsia" w:hAnsiTheme="minorEastAsia" w:eastAsiaTheme="minorEastAsia"/>
          <w:sz w:val="32"/>
          <w:szCs w:val="32"/>
        </w:rPr>
        <w:t>%;卫生健康（类）支出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62.60万元，占6.72%；农林水</w:t>
      </w:r>
      <w:r>
        <w:rPr>
          <w:rFonts w:hint="eastAsia" w:asciiTheme="minorEastAsia" w:hAnsiTheme="minorEastAsia" w:eastAsiaTheme="minorEastAsia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支出95.40万元，占10.24%；住房保障</w:t>
      </w:r>
      <w:r>
        <w:rPr>
          <w:rFonts w:hint="eastAsia" w:asciiTheme="minorEastAsia" w:hAnsiTheme="minorEastAsia" w:eastAsiaTheme="minorEastAsia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支出1.61%。</w:t>
      </w:r>
    </w:p>
    <w:p>
      <w:pPr>
        <w:pStyle w:val="3"/>
        <w:bidi w:val="0"/>
        <w:rPr>
          <w:rFonts w:hint="eastAsia"/>
          <w:b/>
        </w:rPr>
      </w:pPr>
      <w:r>
        <w:rPr>
          <w:rFonts w:hint="eastAsia"/>
          <w:b/>
        </w:rPr>
        <w:t>（三）决算资金绩效目标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总体绩效目标：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2020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年，全乡上下认真贯彻落实县委、县政府指示精神，脚踏实地，科学谋划，以推动经济转型发展为目标，以产业项目为突破口，以民生项目为保障，以生态环境整治、农村卫生治理、安全生产、信访维稳、脱贫攻坚为重点，严格按照高质量发展要求，实现全乡经济社会各项事业全面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年度绩效目标：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积极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引导农民进行产业结构调整，培育主导产业，促进农民持续稳定增产、增收，发展农村经济，确保税收稳步增长。发挥财政的服务协调职能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切实做好各项惠农补贴的发放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2、积极稳妥有序推进农村建设，加强农田水利基本建设，增强农业抗御自然灾害的能力；组织好科技和信息服务工作，提高农民现代信息技术水平；加强对农村劳动力的职业技能培训，扩大农村富余劳动力就业；做好防灾减灾、优抚安置、低保、扶贫救济等社会救助工作，加强农村残疾预防和残疾人康复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3、加强社会治安综合治理，维护社会安全秩序；认真做好人民群众的来访工作，维护、保障人民群众的合法权益；建立完善协调联动机制，搞好农村矛盾纠纷排查调处，及时化解农村社会矛盾。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4、发展党员数量，提高党员素质，加强基层党组织建设，增强农村基层干部队伍建设。发展党员数量质量提高，坚持全面从严治党要求，严肃党内政治生活，认真落实谈心谈话、民主生活会、组织生活会、“三会一课”等制度，推进“两学一做”学习教育常态化制度化，着力提高干部执行力；扎实开展抓党建促先进攻坚工作，发挥党建引领作用；加强基层党组织建设和党教育管理，发挥基层党组织战斗堡垒作用和党员先锋模范作用，为全乡各项中心工作开展提供有力支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5、完成思想政治工作重大任务，推进社会主义核心价值观落地生根，深入学习宣传十九大精神、习近平新时代中国特色社会主义思想，广泛开展理论宣传活动提升理论研究水平，为全乡经济社会发展提供理论支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6、疫情防控专项工作稳步推进。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/>
        </w:rPr>
        <w:t>一是本单位和疫情防控点的疫情防控工作，保证了单位和防控点的疫情防控安全；二是疫情防控宣传，保障社区居民对疫情严重性有深刻的认识，积极配合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抗疫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/>
        </w:rPr>
        <w:t>工作开展，助力打赢疫情防控战。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二、决算资金使用及管理情况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（一）决算资金的安排落实、总投入等情况。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2020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年度共取得收入合计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1069.29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， 其中：财政拨款收入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1069.29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万元，占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%；事业收入 0 万元，占 0%；经营收入 0 万元， 占 0%； 其他收入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万元，占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2020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年度共发生支出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931.61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 ，其中：基本支出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818.51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万元，占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87.86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 ； 项目支出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113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09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 万元，占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12.14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%；经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营支出 0 万元，占 0%。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（二）决算资金实际使用情况。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00" w:firstLineChars="2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2020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年度共发生财政拨款支出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931.61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30"/>
          <w:szCs w:val="30"/>
          <w:shd w:val="clear" w:fill="FFFFFF"/>
          <w:lang w:val="en-US" w:eastAsia="zh-CN" w:bidi="ar-SA"/>
        </w:rPr>
        <w:t>万元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，其中基本支出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818.51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万元，占支出的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87.86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%；项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目支出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113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09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万元，占支出的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12.14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 xml:space="preserve">%。 </w:t>
      </w:r>
      <w:r>
        <w:rPr>
          <w:rFonts w:hint="eastAsia" w:asciiTheme="minorEastAsia" w:hAnsiTheme="minorEastAsia" w:eastAsiaTheme="minorEastAsia"/>
          <w:sz w:val="32"/>
          <w:szCs w:val="32"/>
        </w:rPr>
        <w:t>主要用于以下方面：一般公共服务（类）支出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676.95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72.66</w:t>
      </w:r>
      <w:r>
        <w:rPr>
          <w:rFonts w:hint="eastAsia" w:asciiTheme="minorEastAsia" w:hAnsiTheme="minorEastAsia" w:eastAsiaTheme="minorEastAsia"/>
          <w:sz w:val="32"/>
          <w:szCs w:val="32"/>
        </w:rPr>
        <w:t>%；社会保障和就业（类）支出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81.55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8.75</w:t>
      </w:r>
      <w:r>
        <w:rPr>
          <w:rFonts w:hint="eastAsia" w:asciiTheme="minorEastAsia" w:hAnsiTheme="minorEastAsia" w:eastAsiaTheme="minorEastAsia"/>
          <w:sz w:val="32"/>
          <w:szCs w:val="32"/>
        </w:rPr>
        <w:t>%;卫生健康（类）支出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62.60万元，占6.72%；农林水</w:t>
      </w:r>
      <w:r>
        <w:rPr>
          <w:rFonts w:hint="eastAsia" w:asciiTheme="minorEastAsia" w:hAnsiTheme="minorEastAsia" w:eastAsiaTheme="minorEastAsia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支出95.40万元，占10.24%；住房保障</w:t>
      </w:r>
      <w:r>
        <w:rPr>
          <w:rFonts w:hint="eastAsia" w:asciiTheme="minorEastAsia" w:hAnsiTheme="minorEastAsia" w:eastAsiaTheme="minorEastAsia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支出1.61%。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（三）决算资金管理情况分析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1、预决算编制情况。我乡及时组织财务人员进行预决算的编制，对本年度相应用款进行及时清理和处理，做到账账相符、账实相符、账证相符，按先有预算再支出的原则，及时处理相关事务；对年度绩效目标进行季度梳理和年度分析，及时上报相关报表；对专项预算提前细化，分科目上报，做到收支平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2、执行管理情况。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我乡按照县财政的要求，及时分月、分季度上报相应计划，待县财政审核通过后，严格按计划执行，各季度执行情况良好。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基本支出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2020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年按月进行申报，其中日常公用经费按月进行申报并支付，截至6月执行进度50%，9月执行进度75%，12月执行进度100%。项目支出按月申报并授权支付，其中1-6月执行进度30%，1-9月执行进度数65%，1-12月执行进度100%。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2020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年一般公共服务支出</w:t>
      </w: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818.51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万元，主要用于机关干部基本工资、津补贴、奖金、绩效工资、社保缴费、工会、福利费等支出，以及保证机关日常正常运转产生的办公费、其他人员工资、公务用车运行维护、维修费、设备购置费、水电费、邮电费、差旅费、会议费、培训费、接待费、其他商品服务支出等；社会保障和就业支出</w:t>
      </w: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81.55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万元主要用于机关事业单位基本养老保险缴费、机关事业单位职业年金缴费、临时救助支出、其他农村生活救助、抚恤金、其他社会保险基金的补助支出；公共卫生支出</w:t>
      </w: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62.61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万元主要用其他公共卫生支出；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农林水支出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95.40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万元主要用于水利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村农村综合改革、对村级一事一议的补助支出；住房保障支出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15.10万元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，主要用于住房公积金缴费。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三、决算支出组织实施情况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（一）资金使用管理情况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我乡严格执行各项财务管理制度，强化资金管理和使用。通过加强预算收支管理，不断健全《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仙人湾瑶族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乡内部控制制度》，梳理内部管理流程，管好用好每笔资金，杜绝违规违法事件的发生。财务活动及时进行会计核算，对项目资金、政府采购进行公开公示，接受审计、财政监督、纪检监察等部门的监督检查。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（二）项目组织实施情况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仙人湾瑶族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乡人民政府组织实施，经村支两委研究，按照“四议两公开”的程序，将基础建设发包给有经验的个体，并要求村项目理事会小组做好项目的跟踪问效工作，监督好项目的事前、事中、事后及项目公示情况。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四、决算支出绩效情况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（一）决算支出决策情况。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项目与部门中长期规划目标相匹配，立项依据充分，与部门职责匹配，项目立项规范。绩效目标设定与事业发展规划相关，与年度预算相匹配，但绩效目标未细化分解为清晰、可衡量的绩效指标。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（二）决算支出过程情况。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1、部门支出绩效。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（1）行政运转保障。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仙人湾瑶族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乡人民政府财政拨款支出主要用于保障我乡部门机构正常运转、完成日常工作任务以及承担本乡事业发展相关工作。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基本支出，是用于保障政府机关、事业单位等机构正常运转的日常支出，包括基本工资、津贴补贴等人员经费以及办公费、印刷费、水电费、办公设备购置等日常公用经费。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项目支出，是用于保障政府机关、事业单位等机构为完成特定的行政工作任务或事业发展目标，用于专项业务等基础设施建设与维护等工作经费支出。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按支出功能分类主要用于以下方面：一般公共服务，社会保障和就业，卫生健康，城乡社区，农林水，住房保障等支出。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（2）机关厉行节约。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我乡认真执行中央“八项”规定，秉承“开源节流，量入为出”的宗旨，严格控制“三公”经费等支出。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2020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年度“三公”经费财政拨款支出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27.27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万元，完成年初预算的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85.22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%，较上年同期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0.55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万元。其中：公务接待支出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11.25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万元，完成年初预算的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75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%，较上年同期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0.1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万元；公务用车运行及维护费支出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16.02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万元，完成年初预算的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94.23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%，较上年同期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增加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0.44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万元；本年度未发生和因公出国（境）费支出。“三公”经费下降的主要原因是认真贯彻落实中央“八项规定”精神和厉行节约要求，进一步从严控制“三公”经费开支，全年实际支出比预算有所节约。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（3）机关节能降耗。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我乡严格执行党政机关厉行节约反对浪费之规定，倡导站所工作人员自觉养成艰苦朴素、勤俭节约的良好风尚，进一步推进节约型机关建设，着力降低单位能耗，从细微处着手，培育良好生活、工作习惯，离开办公室要随手关灯，杜绝“长明灯”、“白昼灯”，下班后自觉关闭各类电器设备电源，做到节约用水，增强勤俭节约意识。规范办公用品采购，加强办公用品的使用管理，积极推行网络办公，尽量在电子媒介上撰写、修改文稿，加快推进无纸化办公进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2、专项决算项目支出绩效。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（1）项目申报情况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年初预算环境综合治理项目资金按月进行申报，农村综合治理工作经费按季度进行申报，其他项目待资金下达后一次性申报。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（2）项目资金管理情况。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乡政府项目资金管理严格按照用款计划，分月、季度执行，按照项目资金管理办法实行专款专用。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（3）绩效目标完成情况。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按照年初预算项目，实施完成后使全乡环境更优美、经济更稳定、社会更和谐，达到预期经济、社会目标。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（三）决算支出产出情况。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项目预算编制合理，充分的预计项目支出并完整反应，预算执行率达100%，未出现截留、挤占、挪用、虚列支出等情况。为保障项目顺利实施定期对项目实施单位进行考核，并统计相关台账记录数据。项目采购方式合规、采购流程规范，资金拨付具有完整的审批程序和手续，符合相关制度规定。但项目资金监管不到位，项目资金无具体使用明细，存在需要完善的风险控制环节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（四）决算支出效益情况。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实现了乡政府正常运转，各职能部门正常履职，对负责的社会事务加强管理，以实现全乡和谐发展、社会稳定；研究制定了全乡农业和农村经济发展规划及年度计划，深化乡村经济体制改革，搞好农村小康建设，加强社会化服务体系建设；指导不断调整产品和产业结构，大力开发新产品，做好技术引进工作；发展农村经济，确保税收稳步增长；督促和指导乡村抓好基础管理工作和安全生产工作。引导农民进行产业结构调整，培育主导产业，促进农民持续稳定增产、增收，做好防汛抗旱、防治大气污染工作，以保证农民的利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通过绩效评价精准加大在“三农”、教育、生态环境、社会保障、公共基础设施、就业再就业等方面的投入改善了公共服务，大力发展和壮大了社会公共事业，着力解决好了人民群众最关心、最直接、最现实的利益问题，统筹兼顾紧紧依靠人民推动改革，打赢三大攻坚战，确保各项决策部署全面落实，实现社会稳定和长治久安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五、主要经验做法、存在的问题及原因分析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1、主要经验及做法：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在项目资金使用上，严格按照相关文件要求，严格执行项目批复内容，不擅自变更、拆借、挪用和挤占专项资金，做到专款专用。按照财政资金使用用途和目的，健全了资金管理制度，款项支付规范，最大限度地发挥了财政资金的使用效率，认真执行年初预算资金计划，账务核算及时规范，保障了机关正常运转，促进了项目建设全面完成，较好地完成了年度工作目标任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2、存在的问题：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未明确产出效益，未细化分解了明确的绩效指标。项目绩效指标设计不够明确。在项目资金使用上，项目资金监管不到位，无具体使用明细，存在需要完善的风险控制环节。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六、有关建议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1、建议进一步明确项目绩效指标，规范绩效目标申报，明确绩效内容，细化绩效指标，以提高绩效指标量化和考核性。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2、积极健全项目资金管理制度、风险控制管理，强化项目使用的规范性。</w:t>
      </w:r>
    </w:p>
    <w:p>
      <w:pPr>
        <w:spacing w:line="400" w:lineRule="exact"/>
        <w:rPr>
          <w:rFonts w:hint="eastAsia" w:ascii="仿宋" w:hAnsi="仿宋" w:eastAsiaTheme="minorEastAsia"/>
          <w:lang w:eastAsia="zh-CN"/>
        </w:rPr>
        <w:sectPr>
          <w:pgSz w:w="11906" w:h="16838"/>
          <w:pgMar w:top="468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3、加强干部队伍的党风廉政教育，强化管理，严格落实片区网格化制度，责任到片、责任到人，实行详细的工作绩效考核机制；加强法律、法规学习，规范行政执法程序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30"/>
          <w:szCs w:val="30"/>
          <w:shd w:val="clear" w:fill="FFFFFF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E64D9"/>
    <w:rsid w:val="5AB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2021-09-07T03:07:00Z</dcterms:created>
  <dc:creator>空</dc:creator>
  <cp:lastModifiedBy>空</cp:lastModifiedBy>
  <cp:lastPrinted>2021-09-07T03:10:18Z</cp:lastPrinted>
  <dcterms:modified xsi:type="dcterms:W3CDTF">2021-09-07T03:11:17Z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C49AAA9C80D242548D6262CDF25C5183</vt:lpwstr>
  </property>
</Properties>
</file>