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ascii="宋体" w:hAnsi="宋体" w:eastAsia="宋体" w:cs="宋体"/>
          <w:b/>
          <w:kern w:val="0"/>
          <w:sz w:val="44"/>
          <w:szCs w:val="44"/>
        </w:rPr>
      </w:pPr>
      <w:bookmarkStart w:id="0" w:name="_GoBack"/>
      <w:bookmarkEnd w:id="0"/>
    </w:p>
    <w:p>
      <w:pPr>
        <w:adjustRightInd w:val="0"/>
        <w:snapToGrid w:val="0"/>
        <w:spacing w:line="560" w:lineRule="atLeast"/>
        <w:jc w:val="center"/>
        <w:rPr>
          <w:rFonts w:hint="eastAsia" w:ascii="宋体" w:hAnsi="宋体" w:eastAsia="宋体" w:cs="宋体"/>
          <w:b/>
          <w:kern w:val="0"/>
          <w:sz w:val="44"/>
          <w:szCs w:val="44"/>
        </w:rPr>
      </w:pPr>
      <w:r>
        <w:rPr>
          <w:rFonts w:hint="eastAsia" w:ascii="宋体" w:hAnsi="宋体" w:eastAsia="宋体" w:cs="宋体"/>
          <w:b/>
          <w:kern w:val="0"/>
          <w:sz w:val="44"/>
          <w:szCs w:val="44"/>
        </w:rPr>
        <w:t>部门整体支出绩效评价报告</w:t>
      </w:r>
    </w:p>
    <w:p>
      <w:pPr>
        <w:adjustRightInd w:val="0"/>
        <w:snapToGrid w:val="0"/>
        <w:spacing w:line="560" w:lineRule="atLeast"/>
        <w:jc w:val="center"/>
        <w:rPr>
          <w:rFonts w:hint="eastAsia" w:ascii="宋体" w:hAnsi="宋体" w:eastAsia="宋体" w:cs="宋体"/>
          <w:b/>
          <w:kern w:val="0"/>
          <w:sz w:val="32"/>
          <w:szCs w:val="32"/>
        </w:rPr>
      </w:pPr>
    </w:p>
    <w:p>
      <w:pPr>
        <w:adjustRightInd w:val="0"/>
        <w:snapToGrid w:val="0"/>
        <w:spacing w:line="540" w:lineRule="atLeast"/>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一、部门基本情况</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1、党政办公室：负责协助镇领导处理日常党务和行政管理工作；协助抓好纪检、监察、群团工作和精神文明建设；做好文秘、接待、后勤、信息、统计、档案、调研、督查工作；负责政策性文件、具体行政行为的审核和上报备案以及行政执法证件的使用管理，承办以镇政府为被告或被申请人的行政诉讼、行政赔偿和行政复议案件，具体承担依法行政、政务公开和行政执法监督的各项工作；联系联络人大、政协工作，承办镇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3、财政所：负责编制和执行镇政府财政预决算工作，管理预算内外资金、编制财政预算草案；负责管理和监督本镇所属行政事业单位的财务活动；负责财政收支管理，镇财政性资金债权管理；负责政府性项目及大额固定资金等方面的内审工作；负责党委会等会议决定事项的督办工作。</w:t>
      </w:r>
    </w:p>
    <w:p>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经济发展办公室：贯彻国家对农业的方针、政策和法规，对农业产业结构调整，农业资源配置和产品品质改善实施服务；负责全镇农村经济发展规划和重要项目申报工作，指导全镇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完成党委、政府分配的其它中心工作。</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6、社会治安和应急管理办公室：负责贯彻执行上级有关基层社会治安综合治理和应急管理工作的方针、政策和法律法规；健全镇、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“两劳”人员的帮教工作，强化社会治安；负责安全生产监管、防汛抗旱、防灾减灾、抗震救灾、森林防火等工作；承办镇党委、政府和上级主管部门交办的其他事项。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镇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8、综合行政执法大队：按照有关法律规定相对集中行使行政处罚权，以镇名义开展执法工作，并接受有关县级主管部门的业务指导和监督，逐步实现一支队伍管执法；承办镇党委、政府和上级主管部门交办的其他事项。</w:t>
      </w:r>
    </w:p>
    <w:p>
      <w:pPr>
        <w:widowControl/>
        <w:spacing w:line="600" w:lineRule="exact"/>
        <w:ind w:firstLine="600" w:firstLineChars="200"/>
        <w:rPr>
          <w:rFonts w:hint="eastAsia" w:ascii="仿宋" w:hAnsi="仿宋" w:eastAsia="仿宋" w:cs="仿宋"/>
          <w:kern w:val="0"/>
          <w:sz w:val="30"/>
          <w:szCs w:val="30"/>
        </w:rPr>
      </w:pPr>
    </w:p>
    <w:p>
      <w:pPr>
        <w:widowControl/>
        <w:spacing w:line="60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机构设置情况：辰溪县</w:t>
      </w:r>
      <w:r>
        <w:rPr>
          <w:rFonts w:hint="eastAsia" w:ascii="仿宋" w:hAnsi="仿宋" w:eastAsia="仿宋" w:cs="仿宋"/>
          <w:kern w:val="0"/>
          <w:sz w:val="30"/>
          <w:szCs w:val="30"/>
          <w:lang w:eastAsia="zh-CN"/>
        </w:rPr>
        <w:t>龙头庵乡</w:t>
      </w:r>
      <w:r>
        <w:rPr>
          <w:rFonts w:hint="eastAsia" w:ascii="仿宋" w:hAnsi="仿宋" w:eastAsia="仿宋" w:cs="仿宋"/>
          <w:kern w:val="0"/>
          <w:sz w:val="30"/>
          <w:szCs w:val="30"/>
        </w:rPr>
        <w:t>人民政府属全额行政机关</w:t>
      </w:r>
      <w:r>
        <w:rPr>
          <w:rFonts w:hint="eastAsia" w:ascii="仿宋" w:hAnsi="仿宋" w:eastAsia="仿宋" w:cs="仿宋"/>
          <w:kern w:val="0"/>
          <w:sz w:val="30"/>
          <w:szCs w:val="30"/>
          <w:lang w:eastAsia="zh-CN"/>
        </w:rPr>
        <w:t>，是</w:t>
      </w:r>
      <w:r>
        <w:rPr>
          <w:rFonts w:hint="eastAsia" w:ascii="仿宋" w:hAnsi="仿宋" w:eastAsia="仿宋" w:cs="仿宋"/>
          <w:kern w:val="0"/>
          <w:sz w:val="30"/>
          <w:szCs w:val="30"/>
        </w:rPr>
        <w:t>一级部门预算单位，</w:t>
      </w:r>
      <w:r>
        <w:rPr>
          <w:rFonts w:hint="eastAsia" w:ascii="仿宋" w:hAnsi="仿宋" w:eastAsia="仿宋" w:cs="仿宋"/>
          <w:kern w:val="0"/>
          <w:sz w:val="30"/>
          <w:szCs w:val="30"/>
          <w:lang w:eastAsia="zh-CN"/>
        </w:rPr>
        <w:t>内设</w:t>
      </w:r>
      <w:r>
        <w:rPr>
          <w:rFonts w:hint="eastAsia" w:ascii="仿宋" w:hAnsi="仿宋" w:eastAsia="仿宋" w:cs="仿宋"/>
          <w:kern w:val="0"/>
          <w:sz w:val="30"/>
          <w:szCs w:val="30"/>
        </w:rPr>
        <w:t>党政办公室、党建办公室、经济发展办公室、社会事务办公室、社会治安和应急管理办公室、自然资源和生态环境办公室、社会事务综合服务中心、农业综合服务中心、便民服务中心、综合行政执法大队等部门</w:t>
      </w:r>
      <w:r>
        <w:rPr>
          <w:rFonts w:hint="eastAsia" w:asciiTheme="minorEastAsia" w:hAnsiTheme="minorEastAsia"/>
          <w:bCs/>
          <w:kern w:val="0"/>
          <w:sz w:val="32"/>
          <w:szCs w:val="32"/>
        </w:rPr>
        <w:t>。</w:t>
      </w:r>
    </w:p>
    <w:p>
      <w:pPr>
        <w:numPr>
          <w:ilvl w:val="0"/>
          <w:numId w:val="1"/>
        </w:numPr>
        <w:adjustRightInd w:val="0"/>
        <w:snapToGrid w:val="0"/>
        <w:spacing w:line="540" w:lineRule="atLeast"/>
        <w:ind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420" w:leftChars="200" w:right="0" w:firstLine="0"/>
        <w:jc w:val="both"/>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val="en-US" w:eastAsia="zh-CN" w:bidi="ar-SA"/>
        </w:rPr>
        <w:t>人员情况：截至2021年底，龙头庵乡人民政府核定人员编制41人，行政编制17人，事业编制24人（财政补助人员24人)；实际在编41人（行政编制17人，事业编制24人），财政实际供给41人。</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en-US" w:eastAsia="zh-CN"/>
        </w:rPr>
        <w:t xml:space="preserve">    2021年共取得预算收入530.68万元，其中：财政拨款收入530.68万元，占100%；上级补助收入0万元，占0%；事业收入0万元，占0%；经营收入0万元，占0%；附属单位上缴收入0万元，占0%；其他收入0万元，占0%。</w:t>
      </w:r>
      <w:r>
        <w:rPr>
          <w:rFonts w:hint="eastAsia" w:eastAsia="仿宋_GB2312"/>
          <w:color w:val="000000"/>
          <w:sz w:val="32"/>
          <w:szCs w:val="32"/>
        </w:rPr>
        <w:t>至</w:t>
      </w: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年1</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eastAsia="zh-CN"/>
        </w:rPr>
        <w:t>月份实际完成财政收入</w:t>
      </w:r>
      <w:r>
        <w:rPr>
          <w:rFonts w:hint="eastAsia" w:ascii="仿宋" w:hAnsi="仿宋" w:eastAsia="仿宋" w:cs="仿宋"/>
          <w:kern w:val="0"/>
          <w:sz w:val="30"/>
          <w:szCs w:val="30"/>
          <w:lang w:val="en-US" w:eastAsia="zh-CN"/>
        </w:rPr>
        <w:t>1074.35</w:t>
      </w:r>
      <w:r>
        <w:rPr>
          <w:rFonts w:hint="eastAsia" w:ascii="仿宋" w:hAnsi="仿宋" w:eastAsia="仿宋" w:cs="仿宋"/>
          <w:kern w:val="0"/>
          <w:sz w:val="30"/>
          <w:szCs w:val="30"/>
          <w:lang w:val="zh-CN" w:eastAsia="zh-CN"/>
        </w:rPr>
        <w:t>万元。202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年各项财政收入是：财政拨款收入</w:t>
      </w:r>
      <w:r>
        <w:rPr>
          <w:rFonts w:hint="eastAsia" w:ascii="仿宋" w:hAnsi="仿宋" w:eastAsia="仿宋" w:cs="仿宋"/>
          <w:kern w:val="0"/>
          <w:sz w:val="30"/>
          <w:szCs w:val="30"/>
          <w:lang w:val="en-US" w:eastAsia="zh-CN"/>
        </w:rPr>
        <w:t>1074.35</w:t>
      </w:r>
      <w:r>
        <w:rPr>
          <w:rFonts w:hint="eastAsia" w:ascii="仿宋" w:hAnsi="仿宋" w:eastAsia="仿宋" w:cs="仿宋"/>
          <w:kern w:val="0"/>
          <w:sz w:val="30"/>
          <w:szCs w:val="30"/>
          <w:lang w:val="zh-CN" w:eastAsia="zh-CN"/>
        </w:rPr>
        <w:t>万元。各项收入是：1、基本支出拨款收入</w:t>
      </w:r>
      <w:r>
        <w:rPr>
          <w:rFonts w:hint="eastAsia" w:ascii="仿宋" w:hAnsi="仿宋" w:eastAsia="仿宋" w:cs="仿宋"/>
          <w:kern w:val="0"/>
          <w:sz w:val="30"/>
          <w:szCs w:val="30"/>
          <w:lang w:val="en-US" w:eastAsia="zh-CN"/>
        </w:rPr>
        <w:t>1074.35</w:t>
      </w:r>
      <w:r>
        <w:rPr>
          <w:rFonts w:hint="eastAsia" w:ascii="仿宋" w:hAnsi="仿宋" w:eastAsia="仿宋" w:cs="仿宋"/>
          <w:kern w:val="0"/>
          <w:sz w:val="30"/>
          <w:szCs w:val="30"/>
          <w:lang w:val="zh-CN" w:eastAsia="zh-CN"/>
        </w:rPr>
        <w:t>万元。</w:t>
      </w:r>
    </w:p>
    <w:p>
      <w:pPr>
        <w:numPr>
          <w:ilvl w:val="0"/>
          <w:numId w:val="0"/>
        </w:numPr>
        <w:adjustRightInd w:val="0"/>
        <w:snapToGrid w:val="0"/>
        <w:spacing w:line="540" w:lineRule="atLeast"/>
        <w:ind w:firstLine="900" w:firstLineChars="3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预算支出合计530.68万元，其中：基本支出519.68万元，占97.93%；项目支出11万元，占2.07%；上缴上级支出0万元，占0 %；经营支出0万元，占0%；对附属单位补助支出0万元，占0%。</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年实际完成财政总支出</w:t>
      </w:r>
      <w:r>
        <w:rPr>
          <w:rFonts w:hint="eastAsia" w:ascii="仿宋" w:hAnsi="仿宋" w:eastAsia="仿宋" w:cs="仿宋"/>
          <w:kern w:val="0"/>
          <w:sz w:val="30"/>
          <w:szCs w:val="30"/>
          <w:lang w:val="en-US" w:eastAsia="zh-CN"/>
        </w:rPr>
        <w:t>979.24</w:t>
      </w:r>
      <w:r>
        <w:rPr>
          <w:rFonts w:hint="eastAsia" w:ascii="仿宋" w:hAnsi="仿宋" w:eastAsia="仿宋" w:cs="仿宋"/>
          <w:kern w:val="0"/>
          <w:sz w:val="30"/>
          <w:szCs w:val="30"/>
          <w:lang w:val="zh-CN" w:eastAsia="zh-CN"/>
        </w:rPr>
        <w:t>万元，主要支出科目是：</w:t>
      </w:r>
    </w:p>
    <w:p>
      <w:pPr>
        <w:ind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zh-CN" w:eastAsia="zh-CN"/>
        </w:rPr>
        <w:t>1、一般公共服务支出</w:t>
      </w:r>
      <w:r>
        <w:rPr>
          <w:rFonts w:hint="eastAsia" w:ascii="仿宋" w:hAnsi="仿宋" w:eastAsia="仿宋" w:cs="仿宋"/>
          <w:kern w:val="0"/>
          <w:sz w:val="30"/>
          <w:szCs w:val="30"/>
          <w:lang w:val="en-US" w:eastAsia="zh-CN"/>
        </w:rPr>
        <w:t>799.56</w:t>
      </w:r>
      <w:r>
        <w:rPr>
          <w:rFonts w:hint="eastAsia" w:ascii="仿宋" w:hAnsi="仿宋" w:eastAsia="仿宋" w:cs="仿宋"/>
          <w:kern w:val="0"/>
          <w:sz w:val="30"/>
          <w:szCs w:val="30"/>
          <w:lang w:val="zh-CN" w:eastAsia="zh-CN"/>
        </w:rPr>
        <w:t>万元，其中：人员工资及津补贴支出</w:t>
      </w:r>
      <w:r>
        <w:rPr>
          <w:rFonts w:hint="eastAsia" w:ascii="仿宋" w:hAnsi="仿宋" w:eastAsia="仿宋" w:cs="仿宋"/>
          <w:kern w:val="0"/>
          <w:sz w:val="30"/>
          <w:szCs w:val="30"/>
          <w:lang w:val="en-US" w:eastAsia="zh-CN"/>
        </w:rPr>
        <w:t>539.98</w:t>
      </w:r>
      <w:r>
        <w:rPr>
          <w:rFonts w:hint="eastAsia" w:ascii="仿宋" w:hAnsi="仿宋" w:eastAsia="仿宋" w:cs="仿宋"/>
          <w:kern w:val="0"/>
          <w:sz w:val="30"/>
          <w:szCs w:val="30"/>
          <w:lang w:val="zh-CN" w:eastAsia="zh-CN"/>
        </w:rPr>
        <w:t>万元；三公经费支出：公务用车运行维护费</w:t>
      </w:r>
      <w:r>
        <w:rPr>
          <w:rFonts w:hint="eastAsia" w:ascii="仿宋" w:hAnsi="仿宋" w:eastAsia="仿宋" w:cs="仿宋"/>
          <w:kern w:val="0"/>
          <w:sz w:val="30"/>
          <w:szCs w:val="30"/>
          <w:lang w:val="en-US" w:eastAsia="zh-CN"/>
        </w:rPr>
        <w:t>13.41万元，公务接待费10.99万元，因公出国（境）费0万元。</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2、社会保障和就业支出</w:t>
      </w:r>
      <w:r>
        <w:rPr>
          <w:rFonts w:hint="eastAsia" w:ascii="仿宋" w:hAnsi="仿宋" w:eastAsia="仿宋" w:cs="仿宋"/>
          <w:kern w:val="0"/>
          <w:sz w:val="30"/>
          <w:szCs w:val="30"/>
          <w:lang w:val="en-US" w:eastAsia="zh-CN"/>
        </w:rPr>
        <w:t>67.11</w:t>
      </w:r>
      <w:r>
        <w:rPr>
          <w:rFonts w:hint="eastAsia" w:ascii="仿宋" w:hAnsi="仿宋" w:eastAsia="仿宋" w:cs="仿宋"/>
          <w:kern w:val="0"/>
          <w:sz w:val="30"/>
          <w:szCs w:val="30"/>
          <w:lang w:val="zh-CN" w:eastAsia="zh-CN"/>
        </w:rPr>
        <w:t>万元，其中：临时救助支出</w:t>
      </w:r>
      <w:r>
        <w:rPr>
          <w:rFonts w:hint="eastAsia" w:ascii="仿宋" w:hAnsi="仿宋" w:eastAsia="仿宋" w:cs="仿宋"/>
          <w:kern w:val="0"/>
          <w:sz w:val="30"/>
          <w:szCs w:val="30"/>
          <w:lang w:val="en-US" w:eastAsia="zh-CN"/>
        </w:rPr>
        <w:t>64.46</w:t>
      </w:r>
      <w:r>
        <w:rPr>
          <w:rFonts w:hint="eastAsia" w:ascii="仿宋" w:hAnsi="仿宋" w:eastAsia="仿宋" w:cs="仿宋"/>
          <w:kern w:val="0"/>
          <w:sz w:val="30"/>
          <w:szCs w:val="30"/>
          <w:lang w:val="zh-CN" w:eastAsia="zh-CN"/>
        </w:rPr>
        <w:t>万元，抚恤金</w:t>
      </w:r>
      <w:r>
        <w:rPr>
          <w:rFonts w:hint="eastAsia" w:ascii="仿宋" w:hAnsi="仿宋" w:eastAsia="仿宋" w:cs="仿宋"/>
          <w:kern w:val="0"/>
          <w:sz w:val="30"/>
          <w:szCs w:val="30"/>
          <w:lang w:val="en-US" w:eastAsia="zh-CN"/>
        </w:rPr>
        <w:t>2.65</w:t>
      </w:r>
      <w:r>
        <w:rPr>
          <w:rFonts w:hint="eastAsia" w:ascii="仿宋" w:hAnsi="仿宋" w:eastAsia="仿宋" w:cs="仿宋"/>
          <w:kern w:val="0"/>
          <w:sz w:val="30"/>
          <w:szCs w:val="30"/>
          <w:lang w:val="zh-CN" w:eastAsia="zh-CN"/>
        </w:rPr>
        <w:t>万元；</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镇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（一）绩效评价实施过程情况，</w:t>
      </w:r>
      <w:r>
        <w:rPr>
          <w:rFonts w:hint="eastAsia" w:ascii="仿宋" w:hAnsi="仿宋" w:eastAsia="仿宋" w:cs="仿宋"/>
          <w:bCs/>
          <w:kern w:val="0"/>
          <w:sz w:val="30"/>
          <w:szCs w:val="30"/>
        </w:rPr>
        <w:t>包括评价方法、工作程序等；</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（二）绩效评价整体结果概况</w:t>
      </w:r>
    </w:p>
    <w:p>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2021年初预算数为530.68万元。其中，一般公共预算拨款530.68万元，其他资金拨款0万元。2021年决算数979.24万元，执行率为184.52%。三公经费24.40万元，同比较少8.9%。</w:t>
      </w:r>
    </w:p>
    <w:p>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一）投入情况分析，包括预算编制、目标设定分析等；</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（二）执行管理情况分析，包括资金执行进度、调整情况、成本控制情况分析及项目完成进度情况等。</w:t>
      </w:r>
    </w:p>
    <w:p>
      <w:pPr>
        <w:adjustRightInd w:val="0"/>
        <w:snapToGrid w:val="0"/>
        <w:spacing w:line="540" w:lineRule="atLeast"/>
        <w:ind w:firstLine="600" w:firstLineChars="200"/>
        <w:rPr>
          <w:rFonts w:hint="eastAsia" w:ascii="仿宋" w:hAnsi="仿宋" w:eastAsia="仿宋" w:cs="仿宋"/>
          <w:b/>
          <w:sz w:val="30"/>
          <w:szCs w:val="30"/>
        </w:rPr>
      </w:pPr>
      <w:r>
        <w:rPr>
          <w:rFonts w:hint="eastAsia" w:ascii="仿宋" w:hAnsi="仿宋" w:eastAsia="仿宋" w:cs="仿宋"/>
          <w:sz w:val="30"/>
          <w:szCs w:val="30"/>
        </w:rPr>
        <w:t>（三）支出绩效情况分析，包括基本支出和项目支出的运行效果情况等。</w:t>
      </w:r>
    </w:p>
    <w:p>
      <w:p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pPr>
        <w:adjustRightInd w:val="0"/>
        <w:snapToGrid w:val="0"/>
        <w:spacing w:line="540" w:lineRule="atLeas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30"/>
          <w:szCs w:val="30"/>
          <w:lang w:val="en-US" w:eastAsia="zh-CN"/>
        </w:rPr>
        <w:t xml:space="preserve"> </w:t>
      </w:r>
      <w:r>
        <w:rPr>
          <w:rFonts w:hint="eastAsia" w:ascii="仿宋" w:hAnsi="仿宋" w:eastAsia="仿宋" w:cs="仿宋"/>
          <w:b w:val="0"/>
          <w:bCs/>
          <w:sz w:val="30"/>
          <w:szCs w:val="30"/>
          <w:lang w:val="en-US" w:eastAsia="zh-CN"/>
        </w:rPr>
        <w:t>存在的问题：1.预算编制工作有待细化。预算编制不够明确和细化，预算编制的合理性需要提高，预算执行力度还要进一步加强；2.公用经费控制有一定难度，基本为刚性支出。</w:t>
      </w:r>
    </w:p>
    <w:p>
      <w:pPr>
        <w:numPr>
          <w:ilvl w:val="0"/>
          <w:numId w:val="2"/>
        </w:num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adjustRightInd w:val="0"/>
        <w:snapToGrid w:val="0"/>
        <w:spacing w:line="540" w:lineRule="atLeast"/>
        <w:ind w:firstLine="562" w:firstLineChars="200"/>
        <w:rPr>
          <w:rFonts w:hint="eastAsia" w:ascii="仿宋" w:hAnsi="仿宋" w:eastAsia="仿宋" w:cs="仿宋"/>
          <w:b w:val="0"/>
          <w:bCs/>
          <w:sz w:val="30"/>
          <w:szCs w:val="30"/>
          <w:lang w:val="en-US" w:eastAsia="zh-CN"/>
        </w:rPr>
      </w:pPr>
      <w:r>
        <w:rPr>
          <w:rFonts w:hint="eastAsia" w:ascii="仿宋_GB2312" w:hAnsi="仿宋_GB2312" w:eastAsia="仿宋_GB2312" w:cs="仿宋_GB2312"/>
          <w:b/>
          <w:sz w:val="28"/>
          <w:szCs w:val="28"/>
          <w:lang w:val="en-US" w:eastAsia="zh-CN"/>
        </w:rPr>
        <w:t xml:space="preserve">      </w:t>
      </w:r>
      <w:r>
        <w:rPr>
          <w:rFonts w:hint="eastAsia" w:ascii="仿宋" w:hAnsi="仿宋" w:eastAsia="仿宋" w:cs="仿宋"/>
          <w:b w:val="0"/>
          <w:bCs/>
          <w:sz w:val="30"/>
          <w:szCs w:val="30"/>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540" w:lineRule="atLeas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 加强财务管理，严格财务审核。加强单位财务管理，健全单位财务管理制度体系，规范单位财务行为。在报账审核支付时，按照预算规定的费用项目和用途进行资金使用审核、列报支付、财务核算，杜绝超支现象的发生。</w:t>
      </w:r>
    </w:p>
    <w:p>
      <w:pPr>
        <w:adjustRightInd w:val="0"/>
        <w:snapToGrid w:val="0"/>
        <w:spacing w:line="540" w:lineRule="atLeast"/>
        <w:ind w:firstLine="562" w:firstLineChars="200"/>
        <w:rPr>
          <w:rFonts w:eastAsia="仿宋_GB2312"/>
          <w:sz w:val="28"/>
          <w:szCs w:val="28"/>
        </w:rPr>
      </w:pPr>
      <w:r>
        <w:rPr>
          <w:rFonts w:hint="eastAsia" w:ascii="仿宋_GB2312" w:hAnsi="仿宋_GB2312" w:eastAsia="仿宋_GB2312" w:cs="仿宋_GB2312"/>
          <w:b/>
          <w:sz w:val="28"/>
          <w:szCs w:val="28"/>
        </w:rPr>
        <w:t>六、其他需要说明的问题</w:t>
      </w:r>
    </w:p>
    <w:p>
      <w:pPr>
        <w:adjustRightInd w:val="0"/>
        <w:snapToGrid w:val="0"/>
        <w:spacing w:line="540" w:lineRule="atLeast"/>
        <w:ind w:firstLine="900" w:firstLineChars="3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无</w:t>
      </w:r>
    </w:p>
    <w:p>
      <w:pPr>
        <w:numPr>
          <w:ilvl w:val="0"/>
          <w:numId w:val="0"/>
        </w:numPr>
        <w:adjustRightInd w:val="0"/>
        <w:snapToGrid w:val="0"/>
        <w:spacing w:line="540" w:lineRule="atLeast"/>
        <w:ind w:firstLine="840" w:firstLineChars="300"/>
        <w:rPr>
          <w:rFonts w:hint="eastAsia" w:ascii="仿宋_GB2312" w:hAnsi="仿宋_GB2312" w:eastAsia="仿宋_GB2312" w:cs="仿宋_GB2312"/>
          <w:b w:val="0"/>
          <w:bCs/>
          <w:sz w:val="28"/>
          <w:szCs w:val="28"/>
          <w:lang w:val="en-US" w:eastAsia="zh-CN"/>
        </w:rPr>
      </w:pPr>
    </w:p>
    <w:p>
      <w:pPr>
        <w:numPr>
          <w:ilvl w:val="0"/>
          <w:numId w:val="0"/>
        </w:numPr>
        <w:adjustRightInd w:val="0"/>
        <w:snapToGrid w:val="0"/>
        <w:spacing w:line="540" w:lineRule="atLeast"/>
        <w:ind w:firstLine="840" w:firstLineChars="300"/>
        <w:rPr>
          <w:rFonts w:hint="eastAsia" w:ascii="仿宋_GB2312" w:hAnsi="仿宋_GB2312" w:eastAsia="仿宋_GB2312" w:cs="仿宋_GB2312"/>
          <w:b w:val="0"/>
          <w:bCs/>
          <w:sz w:val="28"/>
          <w:szCs w:val="28"/>
          <w:lang w:val="en-US" w:eastAsia="zh-CN"/>
        </w:rPr>
      </w:pPr>
    </w:p>
    <w:p>
      <w:pPr>
        <w:numPr>
          <w:ilvl w:val="0"/>
          <w:numId w:val="0"/>
        </w:numPr>
        <w:adjustRightInd w:val="0"/>
        <w:snapToGrid w:val="0"/>
        <w:spacing w:line="540" w:lineRule="atLeast"/>
        <w:ind w:firstLine="840" w:firstLineChars="300"/>
        <w:rPr>
          <w:rFonts w:hint="eastAsia" w:ascii="仿宋_GB2312" w:hAnsi="仿宋_GB2312" w:eastAsia="仿宋_GB2312" w:cs="仿宋_GB2312"/>
          <w:b w:val="0"/>
          <w:bCs/>
          <w:sz w:val="28"/>
          <w:szCs w:val="28"/>
          <w:lang w:val="en-US" w:eastAsia="zh-CN"/>
        </w:rPr>
      </w:pPr>
    </w:p>
    <w:p>
      <w:pPr>
        <w:numPr>
          <w:ilvl w:val="0"/>
          <w:numId w:val="0"/>
        </w:numPr>
        <w:adjustRightInd w:val="0"/>
        <w:snapToGrid w:val="0"/>
        <w:spacing w:line="540" w:lineRule="atLeast"/>
        <w:ind w:firstLine="840" w:firstLineChars="300"/>
        <w:rPr>
          <w:rFonts w:hint="eastAsia" w:ascii="宋体" w:hAnsi="宋体" w:eastAsia="宋体" w:cs="宋体"/>
          <w:b w:val="0"/>
          <w:bCs/>
          <w:sz w:val="24"/>
          <w:szCs w:val="24"/>
          <w:lang w:val="en-US" w:eastAsia="zh-CN"/>
        </w:rPr>
      </w:pPr>
      <w:r>
        <w:rPr>
          <w:rFonts w:hint="eastAsia" w:ascii="仿宋_GB2312" w:hAnsi="仿宋_GB2312" w:eastAsia="仿宋_GB2312" w:cs="仿宋_GB2312"/>
          <w:b w:val="0"/>
          <w:bCs/>
          <w:sz w:val="28"/>
          <w:szCs w:val="28"/>
          <w:lang w:val="en-US" w:eastAsia="zh-CN"/>
        </w:rPr>
        <w:t xml:space="preserve">                            </w:t>
      </w:r>
      <w:r>
        <w:rPr>
          <w:rFonts w:hint="eastAsia" w:ascii="宋体" w:hAnsi="宋体" w:eastAsia="宋体" w:cs="宋体"/>
          <w:b w:val="0"/>
          <w:bCs/>
          <w:sz w:val="30"/>
          <w:szCs w:val="30"/>
          <w:lang w:val="en-US" w:eastAsia="zh-CN"/>
        </w:rPr>
        <w:t xml:space="preserve">    </w:t>
      </w:r>
      <w:r>
        <w:rPr>
          <w:rFonts w:hint="eastAsia" w:ascii="宋体" w:hAnsi="宋体" w:eastAsia="宋体" w:cs="宋体"/>
          <w:b w:val="0"/>
          <w:bCs/>
          <w:sz w:val="24"/>
          <w:szCs w:val="24"/>
          <w:lang w:val="en-US" w:eastAsia="zh-CN"/>
        </w:rPr>
        <w:t xml:space="preserve">  辰溪县龙头庵乡人民政府</w:t>
      </w:r>
    </w:p>
    <w:p>
      <w:pPr>
        <w:ind w:firstLine="5400" w:firstLineChars="2700"/>
        <w:rPr>
          <w:rFonts w:hint="eastAsia" w:ascii="宋体" w:hAnsi="宋体" w:eastAsia="宋体" w:cs="宋体"/>
          <w:color w:val="auto"/>
          <w:kern w:val="0"/>
          <w:sz w:val="20"/>
          <w:szCs w:val="20"/>
        </w:rPr>
      </w:pPr>
    </w:p>
    <w:p>
      <w:pPr>
        <w:ind w:firstLine="5400" w:firstLineChars="2700"/>
        <w:rPr>
          <w:rFonts w:ascii="仿宋" w:hAnsi="仿宋" w:eastAsia="仿宋"/>
          <w:b/>
          <w:sz w:val="24"/>
          <w:szCs w:val="24"/>
        </w:rPr>
      </w:pPr>
      <w:r>
        <w:rPr>
          <w:rFonts w:hint="eastAsia" w:ascii="宋体" w:hAnsi="宋体" w:eastAsia="宋体" w:cs="宋体"/>
          <w:color w:val="auto"/>
          <w:kern w:val="0"/>
          <w:sz w:val="20"/>
          <w:szCs w:val="20"/>
          <w:lang w:val="en-US" w:eastAsia="zh-CN"/>
        </w:rPr>
        <w:t xml:space="preserve">          2022年4月14日</w:t>
      </w:r>
      <w:r>
        <w:rPr>
          <w:rFonts w:hint="eastAsia" w:ascii="宋体" w:hAnsi="宋体" w:eastAsia="宋体" w:cs="宋体"/>
          <w:color w:val="auto"/>
          <w:kern w:val="0"/>
          <w:sz w:val="20"/>
          <w:szCs w:val="20"/>
        </w:rPr>
        <w:t xml:space="preserve"> </w:t>
      </w:r>
    </w:p>
    <w:p>
      <w:pPr>
        <w:ind w:left="210" w:leftChars="100"/>
        <w:rPr>
          <w:rFonts w:ascii="仿宋" w:hAnsi="仿宋" w:eastAsia="仿宋"/>
          <w:b/>
          <w:sz w:val="24"/>
          <w:szCs w:val="24"/>
        </w:rPr>
      </w:pPr>
    </w:p>
    <w:p>
      <w:pPr>
        <w:numPr>
          <w:ilvl w:val="0"/>
          <w:numId w:val="0"/>
        </w:numPr>
        <w:adjustRightInd w:val="0"/>
        <w:snapToGrid w:val="0"/>
        <w:spacing w:line="540" w:lineRule="atLeast"/>
        <w:ind w:firstLine="840" w:firstLineChars="300"/>
        <w:rPr>
          <w:rFonts w:hint="default" w:ascii="仿宋_GB2312" w:hAnsi="仿宋_GB2312" w:eastAsia="仿宋_GB2312" w:cs="仿宋_GB2312"/>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33E6"/>
    <w:rsid w:val="00042D45"/>
    <w:rsid w:val="0048334C"/>
    <w:rsid w:val="010C0636"/>
    <w:rsid w:val="01192C1F"/>
    <w:rsid w:val="02987B74"/>
    <w:rsid w:val="039F2A4B"/>
    <w:rsid w:val="03BA28E6"/>
    <w:rsid w:val="03DF1EFE"/>
    <w:rsid w:val="03F843AB"/>
    <w:rsid w:val="04743DAC"/>
    <w:rsid w:val="05FE4192"/>
    <w:rsid w:val="06285F4E"/>
    <w:rsid w:val="06C15852"/>
    <w:rsid w:val="070103DE"/>
    <w:rsid w:val="07397B77"/>
    <w:rsid w:val="075109EC"/>
    <w:rsid w:val="08DB5CDE"/>
    <w:rsid w:val="0A032DC6"/>
    <w:rsid w:val="0A051D81"/>
    <w:rsid w:val="0A1C108A"/>
    <w:rsid w:val="0C41127C"/>
    <w:rsid w:val="0C5E0C6B"/>
    <w:rsid w:val="0D6B035F"/>
    <w:rsid w:val="0D7511DD"/>
    <w:rsid w:val="104F5AB9"/>
    <w:rsid w:val="11D010D8"/>
    <w:rsid w:val="123C676E"/>
    <w:rsid w:val="12962DFA"/>
    <w:rsid w:val="13272725"/>
    <w:rsid w:val="15276B8D"/>
    <w:rsid w:val="15CF16A7"/>
    <w:rsid w:val="15EA0BE7"/>
    <w:rsid w:val="186B1B5B"/>
    <w:rsid w:val="19143FA0"/>
    <w:rsid w:val="1B0D514B"/>
    <w:rsid w:val="1B3F1A6D"/>
    <w:rsid w:val="1BAC5D56"/>
    <w:rsid w:val="1C0D4CD7"/>
    <w:rsid w:val="1D9E2BD6"/>
    <w:rsid w:val="1E0250BA"/>
    <w:rsid w:val="1F2760B0"/>
    <w:rsid w:val="2023096B"/>
    <w:rsid w:val="207D242B"/>
    <w:rsid w:val="229055EC"/>
    <w:rsid w:val="22CE3412"/>
    <w:rsid w:val="22FE5379"/>
    <w:rsid w:val="231132FF"/>
    <w:rsid w:val="232748D0"/>
    <w:rsid w:val="23A777BF"/>
    <w:rsid w:val="23BD6FE3"/>
    <w:rsid w:val="2432352D"/>
    <w:rsid w:val="24C525F3"/>
    <w:rsid w:val="27C60B5C"/>
    <w:rsid w:val="27E86D24"/>
    <w:rsid w:val="28C037FD"/>
    <w:rsid w:val="294361DC"/>
    <w:rsid w:val="29DA08EE"/>
    <w:rsid w:val="2A0E67EA"/>
    <w:rsid w:val="2D0A14EA"/>
    <w:rsid w:val="2D0B0DBF"/>
    <w:rsid w:val="2DE0049D"/>
    <w:rsid w:val="2ED00512"/>
    <w:rsid w:val="2F9B1B8F"/>
    <w:rsid w:val="2FDB4595"/>
    <w:rsid w:val="30B11C7D"/>
    <w:rsid w:val="32B51EF8"/>
    <w:rsid w:val="33615BDC"/>
    <w:rsid w:val="336E3E55"/>
    <w:rsid w:val="33A144D4"/>
    <w:rsid w:val="34232E92"/>
    <w:rsid w:val="34DD3524"/>
    <w:rsid w:val="359978AF"/>
    <w:rsid w:val="36315ED4"/>
    <w:rsid w:val="36745C27"/>
    <w:rsid w:val="36B21670"/>
    <w:rsid w:val="37A91900"/>
    <w:rsid w:val="395C7C76"/>
    <w:rsid w:val="39BD78E5"/>
    <w:rsid w:val="3A1219DE"/>
    <w:rsid w:val="3BAB20EB"/>
    <w:rsid w:val="3C353CC0"/>
    <w:rsid w:val="3CED04E1"/>
    <w:rsid w:val="3D2C21EF"/>
    <w:rsid w:val="3D9B78AE"/>
    <w:rsid w:val="3E942579"/>
    <w:rsid w:val="3EE24A31"/>
    <w:rsid w:val="404843AC"/>
    <w:rsid w:val="40956EC5"/>
    <w:rsid w:val="4278084D"/>
    <w:rsid w:val="449776B0"/>
    <w:rsid w:val="44F22B38"/>
    <w:rsid w:val="45575091"/>
    <w:rsid w:val="45795008"/>
    <w:rsid w:val="4597723C"/>
    <w:rsid w:val="47051DF3"/>
    <w:rsid w:val="474E7DCE"/>
    <w:rsid w:val="4847319B"/>
    <w:rsid w:val="49894B4E"/>
    <w:rsid w:val="49AC5ADF"/>
    <w:rsid w:val="4B614574"/>
    <w:rsid w:val="4BCD39B7"/>
    <w:rsid w:val="4D946E30"/>
    <w:rsid w:val="4DAD1CF2"/>
    <w:rsid w:val="4E453CD9"/>
    <w:rsid w:val="4E9609D8"/>
    <w:rsid w:val="4EB160F6"/>
    <w:rsid w:val="4FB91B07"/>
    <w:rsid w:val="507C59AC"/>
    <w:rsid w:val="50B21583"/>
    <w:rsid w:val="50E616B4"/>
    <w:rsid w:val="51114346"/>
    <w:rsid w:val="51121E6C"/>
    <w:rsid w:val="51F021AD"/>
    <w:rsid w:val="52483D98"/>
    <w:rsid w:val="5294522F"/>
    <w:rsid w:val="52A80CDA"/>
    <w:rsid w:val="531A11E6"/>
    <w:rsid w:val="561548D9"/>
    <w:rsid w:val="571526B6"/>
    <w:rsid w:val="582232DD"/>
    <w:rsid w:val="58353010"/>
    <w:rsid w:val="58D16DB9"/>
    <w:rsid w:val="58E81E30"/>
    <w:rsid w:val="59CE54CA"/>
    <w:rsid w:val="5A67147B"/>
    <w:rsid w:val="5A6F4884"/>
    <w:rsid w:val="5ADF1E21"/>
    <w:rsid w:val="5B392E17"/>
    <w:rsid w:val="5BB26369"/>
    <w:rsid w:val="5C4F5EA6"/>
    <w:rsid w:val="5C7F2AAC"/>
    <w:rsid w:val="5CC42BB4"/>
    <w:rsid w:val="5D3D64C3"/>
    <w:rsid w:val="5DB6023B"/>
    <w:rsid w:val="5E3E24F3"/>
    <w:rsid w:val="5F273851"/>
    <w:rsid w:val="5F742670"/>
    <w:rsid w:val="60591866"/>
    <w:rsid w:val="60C43183"/>
    <w:rsid w:val="638766EA"/>
    <w:rsid w:val="63C96D02"/>
    <w:rsid w:val="64551456"/>
    <w:rsid w:val="64C51278"/>
    <w:rsid w:val="65E64613"/>
    <w:rsid w:val="662A7261"/>
    <w:rsid w:val="66377F53"/>
    <w:rsid w:val="66C7577B"/>
    <w:rsid w:val="67191D4F"/>
    <w:rsid w:val="6A102F95"/>
    <w:rsid w:val="6A2213C4"/>
    <w:rsid w:val="6A99742E"/>
    <w:rsid w:val="6C8B724B"/>
    <w:rsid w:val="6C9C3206"/>
    <w:rsid w:val="6CA95923"/>
    <w:rsid w:val="6DE309C1"/>
    <w:rsid w:val="6E4E6782"/>
    <w:rsid w:val="6EDB186C"/>
    <w:rsid w:val="6F2319BD"/>
    <w:rsid w:val="70FE623D"/>
    <w:rsid w:val="71A933E6"/>
    <w:rsid w:val="71F47640"/>
    <w:rsid w:val="72487E2D"/>
    <w:rsid w:val="731D3201"/>
    <w:rsid w:val="73375A36"/>
    <w:rsid w:val="747B5BAA"/>
    <w:rsid w:val="74E92D60"/>
    <w:rsid w:val="76740D50"/>
    <w:rsid w:val="7693567A"/>
    <w:rsid w:val="78043C65"/>
    <w:rsid w:val="780F5B42"/>
    <w:rsid w:val="796B643A"/>
    <w:rsid w:val="7A6102DC"/>
    <w:rsid w:val="7C507B69"/>
    <w:rsid w:val="7C9C2DAE"/>
    <w:rsid w:val="7CA37C99"/>
    <w:rsid w:val="7CEE4349"/>
    <w:rsid w:val="7D787377"/>
    <w:rsid w:val="7D821FA4"/>
    <w:rsid w:val="7DDA3B8E"/>
    <w:rsid w:val="7E0048C7"/>
    <w:rsid w:val="7E6E02D0"/>
    <w:rsid w:val="7F91440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3076</Words>
  <Characters>3237</Characters>
  <Lines>0</Lines>
  <Paragraphs>0</Paragraphs>
  <TotalTime>15</TotalTime>
  <ScaleCrop>false</ScaleCrop>
  <LinksUpToDate>false</LinksUpToDate>
  <CharactersWithSpaces>3310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2022-03-31T02:28:00Z</dcterms:created>
  <dc:creator>执子之爪</dc:creator>
  <cp:lastModifiedBy>Administrator</cp:lastModifiedBy>
  <cp:lastPrinted>2022-04-12T07:49:00Z</cp:lastPrinted>
  <dcterms:modified xsi:type="dcterms:W3CDTF">2022-04-14T08:40:00Z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F01FE2DF1AFD4382A65B2A46AF4F4212</vt:lpwstr>
  </property>
</Properties>
</file>