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50" w:lineRule="atLeast"/>
        <w:jc w:val="center"/>
        <w:rPr>
          <w:rFonts w:ascii="仿宋" w:hAnsi="仿宋" w:eastAsia="仿宋"/>
          <w:color w:val="333333"/>
          <w:sz w:val="32"/>
          <w:szCs w:val="32"/>
        </w:rPr>
      </w:pPr>
    </w:p>
    <w:p>
      <w:pPr>
        <w:pStyle w:val="4"/>
        <w:shd w:val="clear" w:color="auto" w:fill="FFFFFF"/>
        <w:spacing w:before="0" w:beforeAutospacing="0" w:after="0" w:afterAutospacing="0" w:line="450" w:lineRule="atLeast"/>
        <w:jc w:val="center"/>
        <w:rPr>
          <w:rFonts w:ascii="仿宋" w:hAnsi="仿宋" w:eastAsia="仿宋"/>
          <w:color w:val="333333"/>
          <w:sz w:val="32"/>
          <w:szCs w:val="32"/>
        </w:rPr>
      </w:pPr>
    </w:p>
    <w:p>
      <w:pPr>
        <w:pStyle w:val="4"/>
        <w:shd w:val="clear" w:color="auto" w:fill="FFFFFF"/>
        <w:spacing w:before="0" w:beforeAutospacing="0" w:after="0" w:afterAutospacing="0" w:line="450" w:lineRule="atLeast"/>
        <w:jc w:val="center"/>
        <w:rPr>
          <w:rFonts w:ascii="仿宋" w:hAnsi="仿宋" w:eastAsia="仿宋"/>
          <w:color w:val="333333"/>
          <w:sz w:val="32"/>
          <w:szCs w:val="32"/>
        </w:rPr>
      </w:pPr>
    </w:p>
    <w:p>
      <w:pPr>
        <w:pStyle w:val="4"/>
        <w:shd w:val="clear" w:color="auto" w:fill="FFFFFF"/>
        <w:spacing w:before="0" w:beforeAutospacing="0" w:after="0" w:afterAutospacing="0" w:line="450" w:lineRule="atLeast"/>
        <w:jc w:val="center"/>
        <w:rPr>
          <w:rFonts w:ascii="仿宋" w:hAnsi="仿宋" w:eastAsia="仿宋"/>
          <w:color w:val="333333"/>
          <w:sz w:val="32"/>
          <w:szCs w:val="32"/>
        </w:rPr>
      </w:pPr>
    </w:p>
    <w:p>
      <w:pPr>
        <w:pStyle w:val="4"/>
        <w:shd w:val="clear" w:color="auto" w:fill="FFFFFF"/>
        <w:spacing w:before="0" w:beforeAutospacing="0" w:after="0" w:afterAutospacing="0" w:line="450" w:lineRule="atLeast"/>
        <w:jc w:val="center"/>
        <w:rPr>
          <w:rFonts w:ascii="仿宋" w:hAnsi="仿宋" w:eastAsia="仿宋"/>
          <w:color w:val="333333"/>
          <w:sz w:val="32"/>
          <w:szCs w:val="32"/>
        </w:rPr>
      </w:pPr>
    </w:p>
    <w:p>
      <w:pPr>
        <w:adjustRightInd w:val="0"/>
        <w:snapToGrid w:val="0"/>
        <w:spacing w:line="560" w:lineRule="atLeast"/>
        <w:jc w:val="center"/>
        <w:rPr>
          <w:rFonts w:ascii="宋体" w:hAnsi="宋体" w:eastAsia="宋体" w:cs="宋体"/>
          <w:b/>
          <w:kern w:val="0"/>
          <w:sz w:val="44"/>
          <w:szCs w:val="44"/>
        </w:rPr>
      </w:pPr>
      <w:r>
        <w:rPr>
          <w:rFonts w:hint="eastAsia" w:ascii="宋体" w:hAnsi="宋体" w:eastAsia="宋体" w:cs="宋体"/>
          <w:b/>
          <w:kern w:val="0"/>
          <w:sz w:val="44"/>
          <w:szCs w:val="44"/>
        </w:rPr>
        <w:t>2021年后塘瑶族乡人民政府部门整体支出</w:t>
      </w:r>
    </w:p>
    <w:p>
      <w:pPr>
        <w:adjustRightInd w:val="0"/>
        <w:snapToGrid w:val="0"/>
        <w:spacing w:line="560" w:lineRule="atLeast"/>
        <w:jc w:val="center"/>
        <w:rPr>
          <w:rFonts w:ascii="宋体" w:hAnsi="宋体" w:eastAsia="宋体" w:cs="宋体"/>
          <w:b/>
          <w:kern w:val="0"/>
          <w:sz w:val="44"/>
          <w:szCs w:val="44"/>
        </w:rPr>
      </w:pPr>
      <w:r>
        <w:rPr>
          <w:rFonts w:hint="eastAsia" w:ascii="宋体" w:hAnsi="宋体" w:eastAsia="宋体" w:cs="宋体"/>
          <w:b/>
          <w:kern w:val="0"/>
          <w:sz w:val="44"/>
          <w:szCs w:val="44"/>
        </w:rPr>
        <w:t>绩效评价报告</w:t>
      </w:r>
    </w:p>
    <w:p>
      <w:pPr>
        <w:adjustRightInd w:val="0"/>
        <w:snapToGrid w:val="0"/>
        <w:spacing w:line="560" w:lineRule="atLeast"/>
        <w:rPr>
          <w:rFonts w:ascii="宋体" w:hAnsi="宋体" w:eastAsia="宋体" w:cs="宋体"/>
          <w:b/>
          <w:kern w:val="0"/>
          <w:sz w:val="32"/>
          <w:szCs w:val="32"/>
        </w:rPr>
      </w:pPr>
    </w:p>
    <w:p>
      <w:pPr>
        <w:adjustRightInd w:val="0"/>
        <w:snapToGrid w:val="0"/>
        <w:spacing w:line="560" w:lineRule="atLeast"/>
        <w:jc w:val="center"/>
        <w:rPr>
          <w:rFonts w:ascii="宋体" w:hAnsi="宋体" w:eastAsia="宋体" w:cs="宋体"/>
          <w:b/>
          <w:kern w:val="0"/>
          <w:sz w:val="32"/>
          <w:szCs w:val="32"/>
        </w:rPr>
      </w:pPr>
    </w:p>
    <w:p>
      <w:pPr>
        <w:adjustRightInd w:val="0"/>
        <w:snapToGrid w:val="0"/>
        <w:spacing w:line="540" w:lineRule="atLeast"/>
        <w:ind w:firstLine="643" w:firstLineChars="200"/>
        <w:rPr>
          <w:rFonts w:ascii="宋体" w:hAnsi="宋体" w:eastAsia="宋体" w:cs="宋体"/>
          <w:b/>
          <w:sz w:val="32"/>
          <w:szCs w:val="32"/>
        </w:rPr>
      </w:pPr>
      <w:r>
        <w:rPr>
          <w:rFonts w:hint="eastAsia" w:ascii="宋体" w:hAnsi="宋体" w:eastAsia="宋体" w:cs="宋体"/>
          <w:b/>
          <w:sz w:val="32"/>
          <w:szCs w:val="32"/>
        </w:rPr>
        <w:t>一、部门基本情况</w:t>
      </w:r>
    </w:p>
    <w:p>
      <w:pPr>
        <w:adjustRightInd w:val="0"/>
        <w:snapToGrid w:val="0"/>
        <w:spacing w:line="540" w:lineRule="atLeast"/>
        <w:ind w:firstLine="600" w:firstLineChars="200"/>
        <w:rPr>
          <w:rFonts w:ascii="仿宋" w:hAnsi="仿宋" w:eastAsia="仿宋" w:cs="仿宋"/>
          <w:kern w:val="0"/>
          <w:sz w:val="30"/>
          <w:szCs w:val="30"/>
        </w:rPr>
      </w:pPr>
      <w:r>
        <w:rPr>
          <w:rFonts w:hint="eastAsia" w:ascii="仿宋" w:hAnsi="仿宋" w:eastAsia="仿宋" w:cs="仿宋"/>
          <w:kern w:val="0"/>
          <w:sz w:val="30"/>
          <w:szCs w:val="30"/>
        </w:rPr>
        <w:t>（一）</w:t>
      </w:r>
      <w:r>
        <w:rPr>
          <w:rFonts w:hint="eastAsia" w:ascii="仿宋" w:hAnsi="仿宋" w:eastAsia="仿宋" w:cs="仿宋"/>
          <w:b/>
          <w:bCs/>
          <w:kern w:val="0"/>
          <w:sz w:val="30"/>
          <w:szCs w:val="30"/>
        </w:rPr>
        <w:t>部门职能与机构设置</w:t>
      </w:r>
    </w:p>
    <w:p>
      <w:pPr>
        <w:adjustRightInd w:val="0"/>
        <w:snapToGrid w:val="0"/>
        <w:spacing w:line="540" w:lineRule="atLeast"/>
        <w:ind w:left="420" w:leftChars="200"/>
        <w:rPr>
          <w:rFonts w:ascii="仿宋" w:hAnsi="仿宋" w:eastAsia="仿宋" w:cs="仿宋"/>
          <w:kern w:val="0"/>
          <w:sz w:val="30"/>
          <w:szCs w:val="30"/>
        </w:rPr>
      </w:pPr>
      <w:r>
        <w:rPr>
          <w:rFonts w:hint="eastAsia" w:ascii="仿宋" w:hAnsi="仿宋" w:eastAsia="仿宋" w:cs="仿宋"/>
          <w:kern w:val="0"/>
          <w:sz w:val="30"/>
          <w:szCs w:val="30"/>
        </w:rPr>
        <w:t xml:space="preserve">    辰溪县后塘瑶族乡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w:t>
      </w:r>
      <w:bookmarkStart w:id="0" w:name="_GoBack"/>
      <w:bookmarkEnd w:id="0"/>
      <w:r>
        <w:rPr>
          <w:rFonts w:hint="eastAsia" w:ascii="仿宋" w:hAnsi="仿宋" w:eastAsia="仿宋" w:cs="仿宋"/>
          <w:kern w:val="0"/>
          <w:sz w:val="30"/>
          <w:szCs w:val="30"/>
        </w:rPr>
        <w:t>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pPr>
        <w:adjustRightInd w:val="0"/>
        <w:snapToGrid w:val="0"/>
        <w:spacing w:line="540" w:lineRule="atLeast"/>
        <w:ind w:left="420" w:leftChars="200" w:firstLine="600" w:firstLineChars="200"/>
        <w:rPr>
          <w:rFonts w:ascii="仿宋" w:hAnsi="仿宋" w:eastAsia="仿宋" w:cs="仿宋"/>
          <w:kern w:val="0"/>
          <w:sz w:val="30"/>
          <w:szCs w:val="30"/>
        </w:rPr>
      </w:pPr>
      <w:r>
        <w:rPr>
          <w:rFonts w:hint="eastAsia" w:ascii="仿宋" w:hAnsi="仿宋" w:eastAsia="仿宋" w:cs="仿宋"/>
          <w:kern w:val="0"/>
          <w:sz w:val="30"/>
          <w:szCs w:val="30"/>
        </w:rPr>
        <w:t>机构设置情况：后塘瑶族乡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w:t>
      </w:r>
    </w:p>
    <w:p>
      <w:pPr>
        <w:adjustRightInd w:val="0"/>
        <w:snapToGrid w:val="0"/>
        <w:spacing w:line="540" w:lineRule="atLeast"/>
        <w:ind w:left="420" w:leftChars="200" w:firstLine="600" w:firstLineChars="200"/>
        <w:rPr>
          <w:rFonts w:ascii="仿宋" w:hAnsi="仿宋" w:eastAsia="仿宋" w:cs="仿宋"/>
          <w:kern w:val="0"/>
          <w:sz w:val="30"/>
          <w:szCs w:val="30"/>
        </w:rPr>
      </w:pPr>
    </w:p>
    <w:p>
      <w:pPr>
        <w:numPr>
          <w:ilvl w:val="0"/>
          <w:numId w:val="1"/>
        </w:numPr>
        <w:adjustRightInd w:val="0"/>
        <w:snapToGrid w:val="0"/>
        <w:spacing w:line="540" w:lineRule="atLeast"/>
        <w:ind w:firstLine="602" w:firstLineChars="200"/>
        <w:rPr>
          <w:rFonts w:ascii="仿宋" w:hAnsi="仿宋" w:eastAsia="仿宋" w:cs="仿宋"/>
          <w:b/>
          <w:bCs/>
          <w:kern w:val="0"/>
          <w:sz w:val="30"/>
          <w:szCs w:val="30"/>
        </w:rPr>
      </w:pPr>
      <w:r>
        <w:rPr>
          <w:rFonts w:hint="eastAsia" w:ascii="仿宋" w:hAnsi="仿宋" w:eastAsia="仿宋" w:cs="仿宋"/>
          <w:b/>
          <w:bCs/>
          <w:kern w:val="0"/>
          <w:sz w:val="30"/>
          <w:szCs w:val="30"/>
        </w:rPr>
        <w:t>人员情况</w:t>
      </w:r>
    </w:p>
    <w:p>
      <w:pPr>
        <w:pStyle w:val="4"/>
        <w:shd w:val="clear" w:color="auto" w:fill="FFFFFF"/>
        <w:spacing w:before="0" w:beforeAutospacing="0" w:after="0" w:afterAutospacing="0" w:line="540" w:lineRule="atLeast"/>
        <w:ind w:left="420" w:leftChars="200"/>
        <w:jc w:val="both"/>
        <w:rPr>
          <w:rFonts w:ascii="仿宋" w:hAnsi="仿宋" w:eastAsia="仿宋" w:cs="仿宋"/>
          <w:sz w:val="30"/>
          <w:szCs w:val="30"/>
        </w:rPr>
      </w:pPr>
      <w:r>
        <w:rPr>
          <w:rFonts w:hint="eastAsia" w:ascii="仿宋" w:hAnsi="仿宋" w:eastAsia="仿宋" w:cs="仿宋"/>
          <w:sz w:val="30"/>
          <w:szCs w:val="30"/>
        </w:rPr>
        <w:t xml:space="preserve">    人员情况：截至2021年底，后塘瑶族乡人民政府核定人员编制44人，行政编制19人，事业编制22人（财政补助人员22人)；实际在编41人（行政编制19人，事业编制22人），财政实际供给41人。</w:t>
      </w:r>
    </w:p>
    <w:p>
      <w:pPr>
        <w:numPr>
          <w:ilvl w:val="0"/>
          <w:numId w:val="1"/>
        </w:numPr>
        <w:adjustRightInd w:val="0"/>
        <w:snapToGrid w:val="0"/>
        <w:spacing w:line="540" w:lineRule="atLeast"/>
        <w:ind w:firstLine="602" w:firstLineChars="200"/>
        <w:rPr>
          <w:rFonts w:ascii="仿宋" w:hAnsi="仿宋" w:eastAsia="仿宋" w:cs="仿宋"/>
          <w:b/>
          <w:bCs/>
          <w:kern w:val="0"/>
          <w:sz w:val="30"/>
          <w:szCs w:val="30"/>
        </w:rPr>
      </w:pPr>
      <w:r>
        <w:rPr>
          <w:rFonts w:hint="eastAsia" w:ascii="仿宋" w:hAnsi="仿宋" w:eastAsia="仿宋" w:cs="仿宋"/>
          <w:b/>
          <w:bCs/>
          <w:kern w:val="0"/>
          <w:sz w:val="30"/>
          <w:szCs w:val="30"/>
        </w:rPr>
        <w:t>部门年度总体工作任务和重点工作任务</w:t>
      </w:r>
    </w:p>
    <w:p>
      <w:pPr>
        <w:adjustRightInd w:val="0"/>
        <w:snapToGrid w:val="0"/>
        <w:spacing w:line="540" w:lineRule="atLeast"/>
        <w:ind w:left="420" w:leftChars="200"/>
        <w:rPr>
          <w:rFonts w:ascii="仿宋" w:hAnsi="仿宋" w:eastAsia="仿宋" w:cs="仿宋"/>
          <w:kern w:val="0"/>
          <w:sz w:val="30"/>
          <w:szCs w:val="30"/>
        </w:rPr>
      </w:pPr>
      <w:r>
        <w:rPr>
          <w:rFonts w:hint="eastAsia" w:ascii="仿宋" w:hAnsi="仿宋" w:eastAsia="仿宋" w:cs="仿宋"/>
          <w:kern w:val="0"/>
          <w:sz w:val="30"/>
          <w:szCs w:val="30"/>
        </w:rPr>
        <w:t xml:space="preserve">    总体工作任务为执行乡人民代表大会的决议和上级国家行政机关的决定和命令；发展和管理本辖区的经济、教育、科学、文化、卫生、体育事业和财政、民政、公安、司法行政、计划生育等行政工作；维护社会秩序，确保社会稳定，保障公民的人身权利、民主权利和其他权利。重点工作任务为做好防灾减灾、优抚安置、低保、扶贫救济等社会救助工作；开展疫情防控工作；乡村环境卫生整治工作等。</w:t>
      </w:r>
    </w:p>
    <w:p>
      <w:pPr>
        <w:numPr>
          <w:ilvl w:val="0"/>
          <w:numId w:val="1"/>
        </w:numPr>
        <w:adjustRightInd w:val="0"/>
        <w:snapToGrid w:val="0"/>
        <w:spacing w:line="540" w:lineRule="atLeast"/>
        <w:ind w:firstLine="602" w:firstLineChars="200"/>
        <w:rPr>
          <w:rFonts w:ascii="仿宋" w:hAnsi="仿宋" w:eastAsia="仿宋" w:cs="仿宋"/>
          <w:b/>
          <w:bCs/>
          <w:kern w:val="0"/>
          <w:sz w:val="30"/>
          <w:szCs w:val="30"/>
        </w:rPr>
      </w:pPr>
      <w:r>
        <w:rPr>
          <w:rFonts w:hint="eastAsia" w:ascii="仿宋" w:hAnsi="仿宋" w:eastAsia="仿宋" w:cs="仿宋"/>
          <w:b/>
          <w:bCs/>
          <w:kern w:val="0"/>
          <w:sz w:val="30"/>
          <w:szCs w:val="30"/>
        </w:rPr>
        <w:t>部门年度整体收支情况</w:t>
      </w:r>
    </w:p>
    <w:p>
      <w:pPr>
        <w:adjustRightInd w:val="0"/>
        <w:snapToGrid w:val="0"/>
        <w:spacing w:line="540" w:lineRule="atLeast"/>
        <w:ind w:left="420" w:leftChars="200"/>
        <w:rPr>
          <w:rFonts w:ascii="仿宋" w:hAnsi="仿宋" w:eastAsia="仿宋" w:cs="仿宋"/>
          <w:kern w:val="0"/>
          <w:sz w:val="30"/>
          <w:szCs w:val="30"/>
        </w:rPr>
      </w:pPr>
      <w:r>
        <w:rPr>
          <w:rFonts w:hint="eastAsia" w:ascii="仿宋" w:hAnsi="仿宋" w:eastAsia="仿宋" w:cs="仿宋"/>
          <w:kern w:val="0"/>
          <w:sz w:val="30"/>
          <w:szCs w:val="30"/>
        </w:rPr>
        <w:t xml:space="preserve">    2021年共取得预算收入1043.65万元，其中：财政拨款收入1043.65万元，占100%；上级补助收入0万元，占0%；事业收入0万元，占0%；经营收入0万元，占0%；附属单位上缴收入0万元，占0%；其他收入0万元，占0%。</w:t>
      </w:r>
    </w:p>
    <w:p>
      <w:pPr>
        <w:adjustRightInd w:val="0"/>
        <w:snapToGrid w:val="0"/>
        <w:spacing w:line="540" w:lineRule="atLeast"/>
        <w:ind w:left="420" w:leftChars="200" w:firstLine="560"/>
        <w:rPr>
          <w:rFonts w:ascii="仿宋" w:hAnsi="仿宋" w:eastAsia="仿宋" w:cs="仿宋"/>
          <w:kern w:val="0"/>
          <w:sz w:val="30"/>
          <w:szCs w:val="30"/>
        </w:rPr>
      </w:pPr>
      <w:r>
        <w:rPr>
          <w:rFonts w:hint="eastAsia" w:ascii="仿宋" w:hAnsi="仿宋" w:eastAsia="仿宋" w:cs="仿宋"/>
          <w:kern w:val="0"/>
          <w:sz w:val="30"/>
          <w:szCs w:val="30"/>
        </w:rPr>
        <w:t>预算支出合计1032.66万元，其中：基本支出1032.66万元，占100%；项目支出0万元，占0%；上缴上级支出0万元，占0 %；经营支出0万元，占0%；对附属单位补助支出0万元，占0%。</w:t>
      </w:r>
    </w:p>
    <w:p>
      <w:pPr>
        <w:adjustRightInd w:val="0"/>
        <w:snapToGrid w:val="0"/>
        <w:spacing w:line="540" w:lineRule="atLeast"/>
        <w:ind w:left="420" w:leftChars="200" w:firstLine="560"/>
        <w:rPr>
          <w:rFonts w:ascii="仿宋" w:hAnsi="仿宋" w:eastAsia="仿宋" w:cs="仿宋"/>
          <w:kern w:val="0"/>
          <w:sz w:val="30"/>
          <w:szCs w:val="30"/>
        </w:rPr>
      </w:pPr>
      <w:r>
        <w:rPr>
          <w:rFonts w:hint="eastAsia" w:ascii="仿宋" w:hAnsi="仿宋" w:eastAsia="仿宋" w:cs="仿宋"/>
          <w:kern w:val="0"/>
          <w:sz w:val="30"/>
          <w:szCs w:val="30"/>
        </w:rPr>
        <w:t>832平台及电子卖场乡村振兴馆采购预留份额共计1.5万元。</w:t>
      </w:r>
    </w:p>
    <w:p>
      <w:pPr>
        <w:numPr>
          <w:ilvl w:val="0"/>
          <w:numId w:val="1"/>
        </w:numPr>
        <w:adjustRightInd w:val="0"/>
        <w:snapToGrid w:val="0"/>
        <w:spacing w:line="540" w:lineRule="atLeast"/>
        <w:ind w:firstLine="602" w:firstLineChars="200"/>
        <w:rPr>
          <w:rFonts w:ascii="仿宋" w:hAnsi="仿宋" w:eastAsia="仿宋" w:cs="仿宋"/>
          <w:b/>
          <w:bCs/>
          <w:kern w:val="0"/>
          <w:sz w:val="30"/>
          <w:szCs w:val="30"/>
        </w:rPr>
      </w:pPr>
      <w:r>
        <w:rPr>
          <w:rFonts w:hint="eastAsia" w:ascii="仿宋" w:hAnsi="仿宋" w:eastAsia="仿宋" w:cs="仿宋"/>
          <w:b/>
          <w:bCs/>
          <w:kern w:val="0"/>
          <w:sz w:val="30"/>
          <w:szCs w:val="30"/>
        </w:rPr>
        <w:t>部门年度整体工作目标任务完成情况</w:t>
      </w:r>
    </w:p>
    <w:p>
      <w:pPr>
        <w:adjustRightInd w:val="0"/>
        <w:snapToGrid w:val="0"/>
        <w:spacing w:line="540" w:lineRule="atLeast"/>
        <w:ind w:left="420" w:leftChars="200"/>
        <w:rPr>
          <w:rFonts w:ascii="仿宋" w:hAnsi="仿宋" w:eastAsia="仿宋" w:cs="仿宋"/>
          <w:kern w:val="0"/>
          <w:sz w:val="30"/>
          <w:szCs w:val="30"/>
        </w:rPr>
      </w:pPr>
      <w:r>
        <w:rPr>
          <w:rFonts w:hint="eastAsia" w:ascii="仿宋" w:hAnsi="仿宋" w:eastAsia="仿宋" w:cs="仿宋"/>
          <w:kern w:val="0"/>
          <w:sz w:val="30"/>
          <w:szCs w:val="30"/>
        </w:rPr>
        <w:t xml:space="preserve">    项目预算编制合理，充分的预计项目支出并完整反应，预算执行率达100%，未出现截留、挤占、挪用、虚列支出等情况。项目采购方式合规、采购流程规范，本年度支出的所有资金均由县财政局国库支付，支出符合国家财经法规和财务管理制度规定以及有关专项资金管理办法的规定；资金拨付有完整的审批程序和手续；项目支出按规定经过评估论证。我单位不断改善行政管理、严格经费及资产管理；做好防汛抗旱、防治大气污染工作；督促和指导乡村抓好基础管理工作和安全生产工作；改进文风会风，精简会议，提高了行政效率，各方面工作得到社会大众的肯定和好评，在年度绩效考核中成绩优异。</w:t>
      </w:r>
    </w:p>
    <w:p>
      <w:pPr>
        <w:adjustRightInd w:val="0"/>
        <w:snapToGrid w:val="0"/>
        <w:spacing w:line="540" w:lineRule="atLeast"/>
        <w:ind w:firstLine="643" w:firstLineChars="200"/>
        <w:rPr>
          <w:rFonts w:ascii="仿宋_GB2312" w:hAnsi="仿宋_GB2312" w:eastAsia="仿宋_GB2312" w:cs="仿宋_GB2312"/>
          <w:bCs/>
          <w:sz w:val="32"/>
          <w:szCs w:val="32"/>
        </w:rPr>
      </w:pPr>
      <w:r>
        <w:rPr>
          <w:rFonts w:hint="eastAsia" w:ascii="仿宋" w:hAnsi="仿宋" w:eastAsia="仿宋" w:cs="仿宋"/>
          <w:b/>
          <w:sz w:val="32"/>
          <w:szCs w:val="32"/>
        </w:rPr>
        <w:t>二、部门整体评价工作开展</w:t>
      </w:r>
    </w:p>
    <w:p>
      <w:pPr>
        <w:adjustRightInd w:val="0"/>
        <w:snapToGrid w:val="0"/>
        <w:spacing w:line="540" w:lineRule="atLeast"/>
        <w:ind w:firstLine="600" w:firstLineChars="200"/>
        <w:rPr>
          <w:rFonts w:ascii="仿宋" w:hAnsi="仿宋" w:eastAsia="仿宋" w:cs="仿宋"/>
          <w:kern w:val="0"/>
          <w:sz w:val="30"/>
          <w:szCs w:val="30"/>
        </w:rPr>
      </w:pPr>
      <w:r>
        <w:rPr>
          <w:rFonts w:hint="eastAsia" w:ascii="仿宋" w:hAnsi="仿宋" w:eastAsia="仿宋" w:cs="仿宋"/>
          <w:kern w:val="0"/>
          <w:sz w:val="30"/>
          <w:szCs w:val="30"/>
        </w:rPr>
        <w:t>（一）绩效评价实施过程情况</w:t>
      </w:r>
    </w:p>
    <w:p>
      <w:pPr>
        <w:adjustRightInd w:val="0"/>
        <w:snapToGrid w:val="0"/>
        <w:spacing w:line="540" w:lineRule="atLeast"/>
        <w:ind w:left="420" w:leftChars="200" w:firstLine="600" w:firstLineChars="200"/>
        <w:rPr>
          <w:rFonts w:ascii="仿宋" w:hAnsi="仿宋" w:eastAsia="仿宋" w:cs="仿宋"/>
          <w:kern w:val="0"/>
          <w:sz w:val="30"/>
          <w:szCs w:val="30"/>
        </w:rPr>
      </w:pPr>
      <w:r>
        <w:rPr>
          <w:rFonts w:hint="eastAsia" w:ascii="仿宋" w:hAnsi="仿宋" w:eastAsia="仿宋" w:cs="仿宋"/>
          <w:kern w:val="0"/>
          <w:sz w:val="30"/>
          <w:szCs w:val="30"/>
        </w:rPr>
        <w:t>采用“4E”评价法及平衡记分法，从经济性、效率性、效益性、公平性、群众满意度进行政府绩效评价。通过对比年末预决算数据来评估经济性、效益性、公平性，在日常工作中收集群众反馈问题及投诉来评估群众满意度，更加全面、细致的完成部门整体评价。</w:t>
      </w:r>
    </w:p>
    <w:p>
      <w:pPr>
        <w:adjustRightInd w:val="0"/>
        <w:snapToGrid w:val="0"/>
        <w:spacing w:line="540" w:lineRule="atLeast"/>
        <w:ind w:firstLine="600" w:firstLineChars="200"/>
        <w:rPr>
          <w:rFonts w:ascii="仿宋" w:hAnsi="仿宋" w:eastAsia="仿宋" w:cs="仿宋"/>
          <w:kern w:val="0"/>
          <w:sz w:val="30"/>
          <w:szCs w:val="30"/>
        </w:rPr>
      </w:pPr>
      <w:r>
        <w:rPr>
          <w:rFonts w:hint="eastAsia" w:ascii="仿宋" w:hAnsi="仿宋" w:eastAsia="仿宋" w:cs="仿宋"/>
          <w:kern w:val="0"/>
          <w:sz w:val="30"/>
          <w:szCs w:val="30"/>
        </w:rPr>
        <w:t>（二）绩效评价整体结果概况</w:t>
      </w:r>
    </w:p>
    <w:p>
      <w:pPr>
        <w:adjustRightInd w:val="0"/>
        <w:snapToGrid w:val="0"/>
        <w:spacing w:line="540" w:lineRule="atLeast"/>
        <w:ind w:left="420" w:leftChars="200" w:firstLine="600" w:firstLineChars="200"/>
        <w:rPr>
          <w:rFonts w:ascii="仿宋" w:hAnsi="仿宋" w:eastAsia="仿宋" w:cs="仿宋"/>
          <w:kern w:val="0"/>
          <w:sz w:val="30"/>
          <w:szCs w:val="30"/>
        </w:rPr>
      </w:pPr>
      <w:r>
        <w:rPr>
          <w:rFonts w:hint="eastAsia" w:ascii="仿宋" w:hAnsi="仿宋" w:eastAsia="仿宋" w:cs="仿宋"/>
          <w:kern w:val="0"/>
          <w:sz w:val="30"/>
          <w:szCs w:val="30"/>
        </w:rPr>
        <w:t>2021年初预算数为532.29万元。其中，一般公共预算拨款532.29万元，其他资金拨款0万元。2021年决算数1032.66万元，执行率为194%。三公经费25万元，同比较少2.5%。</w:t>
      </w:r>
    </w:p>
    <w:p>
      <w:pPr>
        <w:adjustRightInd w:val="0"/>
        <w:snapToGrid w:val="0"/>
        <w:spacing w:line="540" w:lineRule="atLeast"/>
        <w:ind w:firstLine="643" w:firstLineChars="200"/>
        <w:rPr>
          <w:rFonts w:ascii="仿宋_GB2312" w:hAnsi="仿宋_GB2312" w:eastAsia="仿宋_GB2312" w:cs="仿宋_GB2312"/>
          <w:b/>
          <w:kern w:val="0"/>
          <w:sz w:val="28"/>
          <w:szCs w:val="28"/>
        </w:rPr>
      </w:pPr>
      <w:r>
        <w:rPr>
          <w:rFonts w:hint="eastAsia" w:ascii="仿宋_GB2312" w:hAnsi="仿宋_GB2312" w:eastAsia="仿宋_GB2312" w:cs="仿宋_GB2312"/>
          <w:b/>
          <w:kern w:val="0"/>
          <w:sz w:val="32"/>
          <w:szCs w:val="32"/>
        </w:rPr>
        <w:t>三、部门整体支出绩效评价分析</w:t>
      </w:r>
    </w:p>
    <w:p>
      <w:pPr>
        <w:adjustRightInd w:val="0"/>
        <w:snapToGrid w:val="0"/>
        <w:spacing w:line="540" w:lineRule="atLeast"/>
        <w:ind w:firstLine="600" w:firstLineChars="200"/>
        <w:rPr>
          <w:rFonts w:ascii="仿宋" w:hAnsi="仿宋" w:eastAsia="仿宋" w:cs="仿宋"/>
          <w:kern w:val="0"/>
          <w:sz w:val="30"/>
          <w:szCs w:val="30"/>
        </w:rPr>
      </w:pPr>
      <w:r>
        <w:rPr>
          <w:rFonts w:hint="eastAsia" w:ascii="仿宋_GB2312" w:hAnsi="仿宋_GB2312" w:eastAsia="仿宋_GB2312" w:cs="仿宋_GB2312"/>
          <w:kern w:val="0"/>
          <w:sz w:val="30"/>
          <w:szCs w:val="30"/>
        </w:rPr>
        <w:t>（</w:t>
      </w:r>
      <w:r>
        <w:rPr>
          <w:rFonts w:hint="eastAsia" w:ascii="仿宋" w:hAnsi="仿宋" w:eastAsia="仿宋" w:cs="仿宋"/>
          <w:kern w:val="0"/>
          <w:sz w:val="30"/>
          <w:szCs w:val="30"/>
        </w:rPr>
        <w:t>一）投入情况分析</w:t>
      </w:r>
    </w:p>
    <w:p>
      <w:pPr>
        <w:adjustRightInd w:val="0"/>
        <w:snapToGrid w:val="0"/>
        <w:spacing w:line="540" w:lineRule="atLeast"/>
        <w:ind w:left="420" w:leftChars="200" w:firstLine="600" w:firstLineChars="200"/>
        <w:rPr>
          <w:rFonts w:ascii="仿宋" w:hAnsi="仿宋" w:eastAsia="仿宋" w:cs="仿宋"/>
          <w:kern w:val="0"/>
          <w:sz w:val="30"/>
          <w:szCs w:val="30"/>
        </w:rPr>
      </w:pPr>
      <w:r>
        <w:rPr>
          <w:rFonts w:hint="eastAsia" w:ascii="仿宋" w:hAnsi="仿宋" w:eastAsia="仿宋" w:cs="仿宋"/>
          <w:kern w:val="0"/>
          <w:sz w:val="30"/>
          <w:szCs w:val="30"/>
        </w:rPr>
        <w:t>按时完成2021年预算编制及公开，预算收入532.29万元，预算支出532.29万元。全年目标有1：贯彻执行规划建设，基础设施建设，稳定和完善农村基本经营管理全面实施下政府各项决策部署，确保各项工作目标任务圆满完成。2：计划完成公务车辆运行费支出预算金额的100%。3：计划完成公务接待支出预算金额的100%。4：计划完成基本支出预算金额的100%。所有目标均根据往年部门整体绩效及政府日常工作设立。</w:t>
      </w:r>
    </w:p>
    <w:p>
      <w:pPr>
        <w:adjustRightInd w:val="0"/>
        <w:snapToGrid w:val="0"/>
        <w:spacing w:line="540" w:lineRule="atLeast"/>
        <w:ind w:firstLine="600" w:firstLineChars="200"/>
        <w:rPr>
          <w:rFonts w:ascii="仿宋" w:hAnsi="仿宋" w:eastAsia="仿宋" w:cs="仿宋"/>
          <w:kern w:val="0"/>
          <w:sz w:val="30"/>
          <w:szCs w:val="30"/>
        </w:rPr>
      </w:pPr>
      <w:r>
        <w:rPr>
          <w:rFonts w:hint="eastAsia" w:ascii="仿宋" w:hAnsi="仿宋" w:eastAsia="仿宋" w:cs="仿宋"/>
          <w:kern w:val="0"/>
          <w:sz w:val="30"/>
          <w:szCs w:val="30"/>
        </w:rPr>
        <w:t>（二）执行管理情况分析</w:t>
      </w:r>
    </w:p>
    <w:p>
      <w:pPr>
        <w:adjustRightInd w:val="0"/>
        <w:snapToGrid w:val="0"/>
        <w:spacing w:line="540" w:lineRule="atLeast"/>
        <w:ind w:left="420" w:leftChars="200" w:firstLine="600" w:firstLineChars="200"/>
        <w:rPr>
          <w:rFonts w:ascii="仿宋" w:hAnsi="仿宋" w:eastAsia="仿宋" w:cs="仿宋"/>
          <w:kern w:val="0"/>
          <w:sz w:val="30"/>
          <w:szCs w:val="30"/>
        </w:rPr>
      </w:pPr>
      <w:r>
        <w:rPr>
          <w:rFonts w:hint="eastAsia" w:ascii="仿宋" w:hAnsi="仿宋" w:eastAsia="仿宋" w:cs="仿宋"/>
          <w:kern w:val="0"/>
          <w:sz w:val="30"/>
          <w:szCs w:val="30"/>
        </w:rPr>
        <w:t>2021年决算支出为1032.66万元，执行率为194%。2021年决算数较2020年有所下降，主要在三公经费及商品服务支出类减少，坚决完成了上级要求的“勒紧腰带过日子”的政策要求。</w:t>
      </w:r>
    </w:p>
    <w:p>
      <w:pPr>
        <w:adjustRightInd w:val="0"/>
        <w:snapToGrid w:val="0"/>
        <w:spacing w:line="540" w:lineRule="atLeast"/>
        <w:ind w:firstLine="600" w:firstLineChars="200"/>
        <w:rPr>
          <w:rFonts w:ascii="仿宋" w:hAnsi="仿宋" w:eastAsia="仿宋" w:cs="仿宋"/>
          <w:sz w:val="30"/>
          <w:szCs w:val="30"/>
        </w:rPr>
      </w:pPr>
      <w:r>
        <w:rPr>
          <w:rFonts w:hint="eastAsia" w:ascii="仿宋" w:hAnsi="仿宋" w:eastAsia="仿宋" w:cs="仿宋"/>
          <w:sz w:val="30"/>
          <w:szCs w:val="30"/>
        </w:rPr>
        <w:t>（三）支出绩效情况分析</w:t>
      </w:r>
    </w:p>
    <w:p>
      <w:pPr>
        <w:adjustRightInd w:val="0"/>
        <w:snapToGrid w:val="0"/>
        <w:spacing w:line="540" w:lineRule="atLeast"/>
        <w:ind w:left="420" w:leftChars="200" w:firstLine="600" w:firstLineChars="200"/>
        <w:rPr>
          <w:rFonts w:ascii="仿宋" w:hAnsi="仿宋" w:eastAsia="仿宋" w:cs="仿宋"/>
          <w:kern w:val="0"/>
          <w:sz w:val="30"/>
          <w:szCs w:val="30"/>
        </w:rPr>
      </w:pPr>
      <w:r>
        <w:rPr>
          <w:rFonts w:hint="eastAsia" w:ascii="仿宋" w:hAnsi="仿宋" w:eastAsia="仿宋" w:cs="仿宋"/>
          <w:kern w:val="0"/>
          <w:sz w:val="30"/>
          <w:szCs w:val="30"/>
        </w:rPr>
        <w:t>2021年基本支出为1032.66万元，贯彻执行规划建设，基础设施建设，稳定和完善农村基本经营管理全面实施下政府各项决策部署，确保各项工作目标任务圆满完成。</w:t>
      </w:r>
    </w:p>
    <w:p>
      <w:pPr>
        <w:adjustRightInd w:val="0"/>
        <w:snapToGrid w:val="0"/>
        <w:spacing w:line="54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四、存在的问题</w:t>
      </w:r>
    </w:p>
    <w:p>
      <w:pPr>
        <w:adjustRightInd w:val="0"/>
        <w:snapToGrid w:val="0"/>
        <w:spacing w:line="540" w:lineRule="atLeast"/>
        <w:ind w:left="420" w:leftChars="200" w:firstLine="600" w:firstLineChars="200"/>
        <w:rPr>
          <w:rFonts w:ascii="仿宋_GB2312" w:hAnsi="仿宋_GB2312" w:eastAsia="仿宋_GB2312" w:cs="仿宋_GB2312"/>
          <w:b/>
          <w:sz w:val="28"/>
          <w:szCs w:val="28"/>
        </w:rPr>
      </w:pPr>
      <w:r>
        <w:rPr>
          <w:rFonts w:hint="eastAsia" w:ascii="仿宋" w:hAnsi="仿宋" w:eastAsia="仿宋" w:cs="仿宋"/>
          <w:kern w:val="0"/>
          <w:sz w:val="30"/>
          <w:szCs w:val="30"/>
        </w:rPr>
        <w:t>存在的问题：1.预算编制工作有待细化。预算编制不够明确和细化，预算编制的合理性需要提高，预算执行力度还要进一步加强；2.公用经费控制有一定难度，基本为刚性支出。</w:t>
      </w:r>
    </w:p>
    <w:p>
      <w:pPr>
        <w:numPr>
          <w:ilvl w:val="0"/>
          <w:numId w:val="2"/>
        </w:numPr>
        <w:adjustRightInd w:val="0"/>
        <w:snapToGrid w:val="0"/>
        <w:spacing w:line="54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整改措施或建议</w:t>
      </w:r>
    </w:p>
    <w:p>
      <w:pPr>
        <w:adjustRightInd w:val="0"/>
        <w:snapToGrid w:val="0"/>
        <w:spacing w:line="540" w:lineRule="atLeast"/>
        <w:ind w:left="420" w:leftChars="200" w:firstLine="562" w:firstLineChars="200"/>
        <w:rPr>
          <w:rFonts w:ascii="仿宋" w:hAnsi="仿宋" w:eastAsia="仿宋" w:cs="仿宋"/>
          <w:kern w:val="0"/>
          <w:sz w:val="30"/>
          <w:szCs w:val="30"/>
        </w:rPr>
      </w:pPr>
      <w:r>
        <w:rPr>
          <w:rFonts w:hint="eastAsia" w:ascii="仿宋_GB2312" w:hAnsi="仿宋_GB2312" w:eastAsia="仿宋_GB2312" w:cs="仿宋_GB2312"/>
          <w:b/>
          <w:sz w:val="28"/>
          <w:szCs w:val="28"/>
        </w:rPr>
        <w:t xml:space="preserve"> </w:t>
      </w:r>
      <w:r>
        <w:rPr>
          <w:rFonts w:hint="eastAsia" w:ascii="仿宋" w:hAnsi="仿宋" w:eastAsia="仿宋" w:cs="仿宋"/>
          <w:kern w:val="0"/>
          <w:sz w:val="30"/>
          <w:szCs w:val="30"/>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adjustRightInd w:val="0"/>
        <w:snapToGrid w:val="0"/>
        <w:spacing w:line="540" w:lineRule="atLeast"/>
        <w:ind w:left="420" w:leftChars="200" w:firstLine="600" w:firstLineChars="200"/>
        <w:rPr>
          <w:rFonts w:ascii="仿宋" w:hAnsi="仿宋" w:eastAsia="仿宋" w:cs="仿宋"/>
          <w:kern w:val="0"/>
          <w:sz w:val="30"/>
          <w:szCs w:val="30"/>
        </w:rPr>
      </w:pPr>
      <w:r>
        <w:rPr>
          <w:rFonts w:hint="eastAsia" w:ascii="仿宋" w:hAnsi="仿宋" w:eastAsia="仿宋" w:cs="仿宋"/>
          <w:kern w:val="0"/>
          <w:sz w:val="30"/>
          <w:szCs w:val="30"/>
        </w:rPr>
        <w:t>2. 加强财务管理，严格财务审核。加强单位财务管理，健全单位财务管理制度体系，规范单位财务行为。在费用报账支付时，按照预算规定的费用项目和用途进行资金使用审核、列报支付、财务核算，杜绝超支现象的发生。</w:t>
      </w:r>
    </w:p>
    <w:p>
      <w:pPr>
        <w:adjustRightInd w:val="0"/>
        <w:snapToGrid w:val="0"/>
        <w:spacing w:line="540" w:lineRule="atLeast"/>
        <w:rPr>
          <w:rFonts w:ascii="仿宋_GB2312" w:hAnsi="仿宋_GB2312" w:eastAsia="仿宋_GB2312" w:cs="仿宋_GB2312"/>
          <w:b/>
          <w:sz w:val="28"/>
          <w:szCs w:val="28"/>
        </w:rPr>
      </w:pPr>
    </w:p>
    <w:p>
      <w:pPr>
        <w:adjustRightInd w:val="0"/>
        <w:snapToGrid w:val="0"/>
        <w:spacing w:line="540" w:lineRule="atLeast"/>
        <w:ind w:firstLine="643" w:firstLineChars="200"/>
        <w:rPr>
          <w:rFonts w:eastAsia="仿宋_GB2312"/>
          <w:sz w:val="32"/>
          <w:szCs w:val="32"/>
        </w:rPr>
      </w:pPr>
      <w:r>
        <w:rPr>
          <w:rFonts w:hint="eastAsia" w:ascii="仿宋_GB2312" w:hAnsi="仿宋_GB2312" w:eastAsia="仿宋_GB2312" w:cs="仿宋_GB2312"/>
          <w:b/>
          <w:sz w:val="32"/>
          <w:szCs w:val="32"/>
        </w:rPr>
        <w:t>六、其他需要说明的问题</w:t>
      </w:r>
    </w:p>
    <w:p>
      <w:pPr>
        <w:adjustRightInd w:val="0"/>
        <w:snapToGrid w:val="0"/>
        <w:spacing w:line="540" w:lineRule="atLeast"/>
        <w:ind w:firstLine="900" w:firstLineChars="3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无</w:t>
      </w:r>
    </w:p>
    <w:p>
      <w:pPr>
        <w:widowControl/>
        <w:spacing w:line="400" w:lineRule="exact"/>
        <w:jc w:val="left"/>
        <w:rPr>
          <w:rFonts w:hint="eastAsia" w:ascii="仿宋" w:hAnsi="仿宋" w:eastAsia="仿宋" w:cs="仿宋_GB2312"/>
          <w:kern w:val="0"/>
          <w:sz w:val="28"/>
          <w:szCs w:val="28"/>
        </w:rPr>
      </w:pPr>
    </w:p>
    <w:p>
      <w:pPr>
        <w:widowControl/>
        <w:spacing w:line="400" w:lineRule="exact"/>
        <w:jc w:val="left"/>
        <w:rPr>
          <w:rFonts w:hint="eastAsia" w:ascii="仿宋" w:hAnsi="仿宋" w:eastAsia="仿宋" w:cs="仿宋_GB2312"/>
          <w:kern w:val="0"/>
          <w:sz w:val="28"/>
          <w:szCs w:val="28"/>
        </w:rPr>
      </w:pPr>
    </w:p>
    <w:p>
      <w:pPr>
        <w:widowControl/>
        <w:spacing w:line="400" w:lineRule="exact"/>
        <w:jc w:val="left"/>
        <w:rPr>
          <w:rFonts w:hint="eastAsia" w:ascii="仿宋" w:hAnsi="仿宋" w:eastAsia="仿宋" w:cs="仿宋_GB2312"/>
          <w:kern w:val="0"/>
          <w:sz w:val="28"/>
          <w:szCs w:val="28"/>
        </w:rPr>
      </w:pPr>
    </w:p>
    <w:p>
      <w:pPr>
        <w:widowControl/>
        <w:spacing w:line="400" w:lineRule="exact"/>
        <w:jc w:val="left"/>
        <w:rPr>
          <w:rFonts w:hint="eastAsia" w:ascii="仿宋" w:hAnsi="仿宋" w:eastAsia="仿宋" w:cs="仿宋_GB2312"/>
          <w:kern w:val="0"/>
          <w:sz w:val="28"/>
          <w:szCs w:val="28"/>
        </w:rPr>
      </w:pPr>
    </w:p>
    <w:p>
      <w:pPr>
        <w:widowControl/>
        <w:spacing w:line="400" w:lineRule="exact"/>
        <w:jc w:val="left"/>
        <w:rPr>
          <w:rFonts w:hint="eastAsia" w:ascii="仿宋" w:hAnsi="仿宋" w:eastAsia="仿宋" w:cs="仿宋_GB2312"/>
          <w:kern w:val="0"/>
          <w:sz w:val="28"/>
          <w:szCs w:val="28"/>
        </w:rPr>
      </w:pPr>
    </w:p>
    <w:p>
      <w:pPr>
        <w:widowControl/>
        <w:spacing w:line="400" w:lineRule="exact"/>
        <w:jc w:val="left"/>
        <w:rPr>
          <w:rFonts w:hint="eastAsia" w:ascii="仿宋" w:hAnsi="仿宋" w:eastAsia="仿宋" w:cs="仿宋_GB2312"/>
          <w:kern w:val="0"/>
          <w:sz w:val="28"/>
          <w:szCs w:val="28"/>
        </w:rPr>
      </w:pPr>
    </w:p>
    <w:p>
      <w:pPr>
        <w:widowControl/>
        <w:spacing w:line="400" w:lineRule="exact"/>
        <w:jc w:val="left"/>
        <w:rPr>
          <w:rFonts w:hint="eastAsia" w:ascii="仿宋" w:hAnsi="仿宋" w:eastAsia="仿宋" w:cs="仿宋_GB2312"/>
          <w:kern w:val="0"/>
          <w:sz w:val="28"/>
          <w:szCs w:val="28"/>
        </w:rPr>
      </w:pPr>
    </w:p>
    <w:p>
      <w:pPr>
        <w:widowControl/>
        <w:spacing w:line="400" w:lineRule="exact"/>
        <w:jc w:val="left"/>
        <w:rPr>
          <w:rFonts w:hint="eastAsia" w:ascii="仿宋" w:hAnsi="仿宋" w:eastAsia="仿宋" w:cs="仿宋_GB2312"/>
          <w:kern w:val="0"/>
          <w:sz w:val="28"/>
          <w:szCs w:val="28"/>
        </w:rPr>
      </w:pPr>
    </w:p>
    <w:p>
      <w:pPr>
        <w:widowControl/>
        <w:spacing w:line="400" w:lineRule="exact"/>
        <w:jc w:val="left"/>
        <w:rPr>
          <w:rFonts w:hint="eastAsia" w:ascii="仿宋" w:hAnsi="仿宋" w:eastAsia="仿宋" w:cs="仿宋_GB2312"/>
          <w:kern w:val="0"/>
          <w:sz w:val="28"/>
          <w:szCs w:val="28"/>
        </w:rPr>
      </w:pPr>
    </w:p>
    <w:p>
      <w:pPr>
        <w:widowControl/>
        <w:spacing w:line="400" w:lineRule="exact"/>
        <w:jc w:val="left"/>
        <w:rPr>
          <w:rFonts w:hint="eastAsia" w:ascii="仿宋" w:hAnsi="仿宋" w:eastAsia="仿宋" w:cs="仿宋_GB2312"/>
          <w:kern w:val="0"/>
          <w:sz w:val="28"/>
          <w:szCs w:val="28"/>
        </w:rPr>
      </w:pPr>
    </w:p>
    <w:p>
      <w:pPr>
        <w:widowControl/>
        <w:spacing w:line="400" w:lineRule="exact"/>
        <w:jc w:val="left"/>
        <w:rPr>
          <w:rFonts w:hint="eastAsia" w:ascii="仿宋" w:hAnsi="仿宋" w:eastAsia="仿宋" w:cs="仿宋_GB2312"/>
          <w:kern w:val="0"/>
          <w:sz w:val="28"/>
          <w:szCs w:val="28"/>
        </w:rPr>
      </w:pPr>
    </w:p>
    <w:p>
      <w:pPr>
        <w:widowControl/>
        <w:spacing w:line="400" w:lineRule="exact"/>
        <w:jc w:val="left"/>
        <w:rPr>
          <w:rFonts w:hint="eastAsia" w:ascii="仿宋" w:hAnsi="仿宋" w:eastAsia="仿宋" w:cs="仿宋_GB2312"/>
          <w:kern w:val="0"/>
          <w:sz w:val="28"/>
          <w:szCs w:val="28"/>
        </w:rPr>
      </w:pPr>
    </w:p>
    <w:p>
      <w:pPr>
        <w:widowControl/>
        <w:spacing w:line="400" w:lineRule="exact"/>
        <w:jc w:val="left"/>
        <w:rPr>
          <w:rFonts w:hint="eastAsia" w:ascii="仿宋" w:hAnsi="仿宋" w:eastAsia="仿宋" w:cs="仿宋_GB2312"/>
          <w:kern w:val="0"/>
          <w:sz w:val="28"/>
          <w:szCs w:val="28"/>
        </w:rPr>
      </w:pPr>
    </w:p>
    <w:p>
      <w:pPr>
        <w:widowControl/>
        <w:spacing w:line="400" w:lineRule="exact"/>
        <w:jc w:val="left"/>
        <w:rPr>
          <w:rFonts w:hint="eastAsia" w:ascii="仿宋" w:hAnsi="仿宋" w:eastAsia="仿宋" w:cs="仿宋_GB2312"/>
          <w:kern w:val="0"/>
          <w:sz w:val="28"/>
          <w:szCs w:val="28"/>
        </w:rPr>
      </w:pPr>
    </w:p>
    <w:p>
      <w:pPr>
        <w:widowControl/>
        <w:spacing w:line="400" w:lineRule="exact"/>
        <w:jc w:val="left"/>
        <w:rPr>
          <w:rFonts w:hint="eastAsia" w:ascii="仿宋" w:hAnsi="仿宋" w:eastAsia="仿宋" w:cs="仿宋_GB2312"/>
          <w:kern w:val="0"/>
          <w:sz w:val="28"/>
          <w:szCs w:val="28"/>
        </w:rPr>
      </w:pPr>
    </w:p>
    <w:p>
      <w:pPr>
        <w:widowControl/>
        <w:spacing w:line="400" w:lineRule="exact"/>
        <w:jc w:val="left"/>
        <w:rPr>
          <w:rFonts w:hint="eastAsia" w:ascii="仿宋" w:hAnsi="仿宋" w:eastAsia="仿宋" w:cs="仿宋_GB2312"/>
          <w:kern w:val="0"/>
          <w:sz w:val="28"/>
          <w:szCs w:val="28"/>
        </w:rPr>
      </w:pPr>
    </w:p>
    <w:p>
      <w:pPr>
        <w:widowControl/>
        <w:spacing w:line="400" w:lineRule="exact"/>
        <w:jc w:val="left"/>
        <w:rPr>
          <w:rFonts w:ascii="仿宋" w:hAnsi="仿宋" w:eastAsia="仿宋" w:cs="仿宋_GB2312"/>
          <w:kern w:val="0"/>
          <w:sz w:val="28"/>
          <w:szCs w:val="28"/>
        </w:rPr>
      </w:pPr>
      <w:r>
        <w:rPr>
          <w:rFonts w:hint="eastAsia" w:ascii="仿宋" w:hAnsi="仿宋" w:eastAsia="仿宋" w:cs="仿宋_GB2312"/>
          <w:kern w:val="0"/>
          <w:sz w:val="28"/>
          <w:szCs w:val="28"/>
        </w:rPr>
        <w:t>附件</w:t>
      </w:r>
      <w:r>
        <w:rPr>
          <w:rFonts w:ascii="仿宋" w:hAnsi="仿宋" w:eastAsia="仿宋" w:cs="仿宋_GB2312"/>
          <w:kern w:val="0"/>
          <w:sz w:val="28"/>
          <w:szCs w:val="28"/>
        </w:rPr>
        <w:t>2</w:t>
      </w:r>
      <w:r>
        <w:rPr>
          <w:rFonts w:hint="eastAsia" w:ascii="仿宋" w:hAnsi="仿宋" w:eastAsia="仿宋" w:cs="仿宋_GB2312"/>
          <w:kern w:val="0"/>
          <w:sz w:val="28"/>
          <w:szCs w:val="28"/>
        </w:rPr>
        <w:t>：</w:t>
      </w:r>
    </w:p>
    <w:p>
      <w:pPr>
        <w:widowControl/>
        <w:spacing w:line="600" w:lineRule="atLeast"/>
        <w:jc w:val="center"/>
        <w:rPr>
          <w:rFonts w:ascii="仿宋" w:hAnsi="仿宋" w:eastAsia="仿宋" w:cs="宋体"/>
          <w:kern w:val="0"/>
          <w:sz w:val="28"/>
          <w:szCs w:val="28"/>
        </w:rPr>
      </w:pPr>
      <w:r>
        <w:rPr>
          <w:rFonts w:hint="eastAsia" w:ascii="仿宋" w:hAnsi="仿宋" w:eastAsia="仿宋" w:cs="宋体"/>
          <w:b/>
          <w:color w:val="000000"/>
          <w:kern w:val="0"/>
          <w:sz w:val="28"/>
          <w:szCs w:val="28"/>
        </w:rPr>
        <w:t>部门整体支出绩效评价指标体系评分表</w:t>
      </w:r>
    </w:p>
    <w:tbl>
      <w:tblPr>
        <w:tblStyle w:val="5"/>
        <w:tblW w:w="9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049"/>
        <w:gridCol w:w="709"/>
        <w:gridCol w:w="4536"/>
        <w:gridCol w:w="1899"/>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一级指标</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二级指标</w:t>
            </w:r>
          </w:p>
        </w:tc>
        <w:tc>
          <w:tcPr>
            <w:tcW w:w="5245"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三级指标</w:t>
            </w:r>
          </w:p>
        </w:tc>
        <w:tc>
          <w:tcPr>
            <w:tcW w:w="1899"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评分标准</w:t>
            </w:r>
          </w:p>
        </w:tc>
        <w:tc>
          <w:tcPr>
            <w:tcW w:w="79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指标名称</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指标解释说明</w:t>
            </w:r>
          </w:p>
        </w:tc>
        <w:tc>
          <w:tcPr>
            <w:tcW w:w="1899"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794"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769" w:type="dxa"/>
            <w:vMerge w:val="restart"/>
            <w:tcBorders>
              <w:top w:val="single" w:color="000000" w:sz="4" w:space="0"/>
              <w:left w:val="single" w:color="000000" w:sz="4" w:space="0"/>
              <w:right w:val="single" w:color="000000" w:sz="4" w:space="0"/>
            </w:tcBorders>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tc>
        <w:tc>
          <w:tcPr>
            <w:tcW w:w="1049" w:type="dxa"/>
            <w:vMerge w:val="restart"/>
            <w:tcBorders>
              <w:top w:val="single" w:color="000000" w:sz="4" w:space="0"/>
              <w:left w:val="single" w:color="000000" w:sz="4" w:space="0"/>
              <w:right w:val="single" w:color="000000" w:sz="4" w:space="0"/>
            </w:tcBorders>
          </w:tcPr>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目标设定</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auto" w:sz="4" w:space="0"/>
              <w:right w:val="single" w:color="auto" w:sz="4" w:space="0"/>
            </w:tcBorders>
          </w:tcPr>
          <w:p>
            <w:pPr>
              <w:widowControl/>
              <w:spacing w:line="68" w:lineRule="atLeast"/>
              <w:jc w:val="left"/>
              <w:rPr>
                <w:rFonts w:ascii="仿宋" w:hAnsi="仿宋" w:eastAsia="仿宋" w:cs="宋体"/>
                <w:kern w:val="0"/>
                <w:szCs w:val="21"/>
              </w:rPr>
            </w:pPr>
            <w:r>
              <w:rPr>
                <w:rFonts w:ascii="仿宋" w:hAnsi="仿宋" w:eastAsia="仿宋" w:cs="Arial"/>
                <w:kern w:val="0"/>
                <w:szCs w:val="21"/>
              </w:rPr>
              <w:t>职责明确（</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tcPr>
          <w:p>
            <w:pPr>
              <w:widowControl/>
              <w:spacing w:line="68" w:lineRule="atLeast"/>
              <w:jc w:val="left"/>
              <w:rPr>
                <w:rFonts w:ascii="仿宋" w:hAnsi="仿宋" w:eastAsia="仿宋" w:cs="宋体"/>
                <w:kern w:val="0"/>
                <w:szCs w:val="21"/>
              </w:rPr>
            </w:pPr>
            <w:r>
              <w:rPr>
                <w:rFonts w:ascii="仿宋" w:hAnsi="仿宋" w:eastAsia="仿宋" w:cs="Arial"/>
                <w:kern w:val="0"/>
                <w:szCs w:val="21"/>
              </w:rPr>
              <w:t>部门的职责设定是否符合“三定”方案中所赋予的职责</w:t>
            </w:r>
            <w:r>
              <w:rPr>
                <w:rFonts w:hint="eastAsia" w:ascii="仿宋" w:hAnsi="仿宋" w:eastAsia="仿宋" w:cs="Arial"/>
                <w:kern w:val="0"/>
                <w:szCs w:val="21"/>
              </w:rPr>
              <w:t>和年度承担的重点工作</w:t>
            </w:r>
            <w:r>
              <w:rPr>
                <w:rFonts w:ascii="仿宋" w:hAnsi="仿宋" w:eastAsia="仿宋" w:cs="Arial"/>
                <w:kern w:val="0"/>
                <w:szCs w:val="21"/>
              </w:rPr>
              <w:t>，用以反映和评价部门工作的目的性与计划性。</w:t>
            </w:r>
          </w:p>
        </w:tc>
        <w:tc>
          <w:tcPr>
            <w:tcW w:w="1899" w:type="dxa"/>
            <w:tcBorders>
              <w:top w:val="single" w:color="000000" w:sz="4" w:space="0"/>
              <w:left w:val="single" w:color="auto" w:sz="4" w:space="0"/>
              <w:bottom w:val="single" w:color="auto" w:sz="4" w:space="0"/>
              <w:right w:val="single" w:color="auto" w:sz="4" w:space="0"/>
            </w:tcBorders>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活动合规性（</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部门的活动是否在职责范围之内并符合部门中长期规划，用以反映和评价部门活动目标与部门履职、年度工作任务的相符性情况。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部门活动的设定在部门所确定的职责范围之内；</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部门活动符合</w:t>
            </w:r>
            <w:r>
              <w:rPr>
                <w:rFonts w:hint="eastAsia" w:ascii="仿宋" w:hAnsi="仿宋" w:eastAsia="仿宋" w:cs="Arial"/>
                <w:kern w:val="0"/>
                <w:szCs w:val="21"/>
              </w:rPr>
              <w:t>县</w:t>
            </w:r>
            <w:r>
              <w:rPr>
                <w:rFonts w:ascii="仿宋" w:hAnsi="仿宋" w:eastAsia="仿宋" w:cs="Arial"/>
                <w:kern w:val="0"/>
                <w:szCs w:val="21"/>
              </w:rPr>
              <w:t>委、</w:t>
            </w:r>
            <w:r>
              <w:rPr>
                <w:rFonts w:hint="eastAsia" w:ascii="仿宋" w:hAnsi="仿宋" w:eastAsia="仿宋" w:cs="Arial"/>
                <w:kern w:val="0"/>
                <w:szCs w:val="21"/>
              </w:rPr>
              <w:t>县</w:t>
            </w:r>
            <w:r>
              <w:rPr>
                <w:rFonts w:ascii="仿宋" w:hAnsi="仿宋" w:eastAsia="仿宋" w:cs="Arial"/>
                <w:kern w:val="0"/>
                <w:szCs w:val="21"/>
              </w:rPr>
              <w:t>政府的发展规划及本部门的年度工作安排与发展规划。</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其中一项不符合（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活动合理性（</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部门所设立的活动是否明确合理、活动的关键性指标设置是否可衡量，用以反映和评价部门活动目标设定的合理性。</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活动目标的设定是可量化的，可通过清晰、可衡量的关键指标值予以体现；</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在活动目标设定时，将关键指标明细分解为具体的达成目标与工作任务。</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其中一项不符合（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目标覆盖率（1分）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部门年度申报绩效目标项目资金额与部门项目预算资金总额的比率，用以反映部门落实财政部门绩效目标申报要求的资金覆盖情况。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覆盖率=实际申报绩效目标项目资金总额/部门项目预算资金总额×100%</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达到目标值得1分，未达到目标值</w:t>
            </w:r>
            <w:r>
              <w:rPr>
                <w:rFonts w:hint="eastAsia" w:ascii="仿宋" w:hAnsi="仿宋" w:eastAsia="仿宋" w:cs="宋体"/>
                <w:kern w:val="0"/>
                <w:szCs w:val="21"/>
              </w:rPr>
              <w:t>采用完成比率法计分：</w:t>
            </w:r>
            <w:r>
              <w:rPr>
                <w:rFonts w:hint="eastAsia" w:ascii="仿宋" w:hAnsi="仿宋" w:eastAsia="仿宋" w:cs="Arial"/>
                <w:kern w:val="0"/>
                <w:szCs w:val="21"/>
              </w:rPr>
              <w:t>得分=覆盖率/目标值</w:t>
            </w:r>
            <w:r>
              <w:rPr>
                <w:rFonts w:ascii="仿宋" w:hAnsi="仿宋" w:eastAsia="仿宋" w:cs="Arial"/>
                <w:kern w:val="0"/>
                <w:szCs w:val="21"/>
              </w:rPr>
              <w:t>×</w:t>
            </w:r>
            <w:r>
              <w:rPr>
                <w:rFonts w:hint="eastAsia" w:ascii="仿宋" w:hAnsi="仿宋" w:eastAsia="仿宋" w:cs="Arial"/>
                <w:kern w:val="0"/>
                <w:szCs w:val="21"/>
              </w:rPr>
              <w:t>1，超过目标值不加分。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宋体" w:hAnsi="宋体" w:eastAsia="仿宋" w:cs="Arial"/>
                <w:kern w:val="0"/>
                <w:sz w:val="20"/>
                <w:szCs w:val="24"/>
              </w:rPr>
            </w:pPr>
            <w:r>
              <w:rPr>
                <w:rFonts w:hint="eastAsia" w:ascii="宋体" w:hAnsi="宋体" w:eastAsia="仿宋" w:cs="Arial"/>
                <w:kern w:val="0"/>
                <w:sz w:val="20"/>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目标管理创新（1分）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部门编报整体绩效目标和申报项目绩效目标的数量超过规定的要求。用以反映和考核部门绩效目标管理创新工作情况。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项目绩效目标创新=部门绩效目标编报数量-按财政部门要求的绩效目标填报数量</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每超过1项得0.1分，满分1分。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宋体" w:hAnsi="宋体" w:eastAsia="仿宋" w:cs="Arial"/>
                <w:kern w:val="0"/>
                <w:sz w:val="20"/>
                <w:szCs w:val="24"/>
              </w:rPr>
            </w:pPr>
            <w:r>
              <w:rPr>
                <w:rFonts w:hint="eastAsia" w:ascii="宋体" w:hAnsi="宋体" w:eastAsia="仿宋" w:cs="Arial"/>
                <w:kern w:val="0"/>
                <w:sz w:val="20"/>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预算配置</w:t>
            </w:r>
            <w:r>
              <w:rPr>
                <w:rFonts w:hint="eastAsia" w:ascii="仿宋" w:hAnsi="仿宋" w:eastAsia="仿宋" w:cs="Arial"/>
                <w:kern w:val="0"/>
                <w:sz w:val="24"/>
                <w:szCs w:val="24"/>
              </w:rPr>
              <w:t>(10分)</w:t>
            </w: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财政供养人员</w:t>
            </w:r>
            <w:r>
              <w:rPr>
                <w:rFonts w:ascii="仿宋" w:hAnsi="仿宋" w:eastAsia="仿宋" w:cs="Arial"/>
                <w:kern w:val="0"/>
                <w:szCs w:val="21"/>
              </w:rPr>
              <w:t>控制率（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部门本年度实际在职人员数与编制数的比率，用以反映和评价部门对人员成本的控制程度。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在职人员控制率</w:t>
            </w:r>
            <w:r>
              <w:rPr>
                <w:rFonts w:hint="eastAsia" w:ascii="仿宋" w:hAnsi="仿宋" w:eastAsia="仿宋" w:cs="Arial"/>
                <w:kern w:val="0"/>
                <w:szCs w:val="21"/>
              </w:rPr>
              <w:t>=</w:t>
            </w:r>
            <w:r>
              <w:rPr>
                <w:rFonts w:ascii="仿宋" w:hAnsi="仿宋" w:eastAsia="仿宋" w:cs="Arial"/>
                <w:kern w:val="0"/>
                <w:szCs w:val="21"/>
              </w:rPr>
              <w:t>（在职人员数</w:t>
            </w:r>
            <w:r>
              <w:rPr>
                <w:rFonts w:hint="eastAsia" w:ascii="仿宋" w:hAnsi="仿宋" w:eastAsia="仿宋" w:cs="Arial"/>
                <w:kern w:val="0"/>
                <w:szCs w:val="21"/>
              </w:rPr>
              <w:t>/</w:t>
            </w:r>
            <w:r>
              <w:rPr>
                <w:rFonts w:ascii="仿宋" w:hAnsi="仿宋" w:eastAsia="仿宋" w:cs="Arial"/>
                <w:kern w:val="0"/>
                <w:szCs w:val="21"/>
              </w:rPr>
              <w:t>编制数）×</w:t>
            </w:r>
            <w:r>
              <w:rPr>
                <w:rFonts w:hint="eastAsia" w:ascii="仿宋" w:hAnsi="仿宋" w:eastAsia="仿宋" w:cs="Arial"/>
                <w:kern w:val="0"/>
                <w:szCs w:val="21"/>
              </w:rPr>
              <w:t>100%</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在职人员数：部门实际在职人数，以财政部确定的部门决算编制口径为准，由编制部门和人劳部门批复同意的临聘人员除外。</w:t>
            </w:r>
          </w:p>
          <w:p>
            <w:pPr>
              <w:widowControl/>
              <w:spacing w:line="68" w:lineRule="atLeast"/>
              <w:jc w:val="left"/>
              <w:rPr>
                <w:rFonts w:ascii="仿宋" w:hAnsi="仿宋" w:eastAsia="仿宋" w:cs="宋体"/>
                <w:kern w:val="0"/>
                <w:szCs w:val="21"/>
              </w:rPr>
            </w:pPr>
            <w:r>
              <w:rPr>
                <w:rFonts w:ascii="仿宋" w:hAnsi="仿宋" w:eastAsia="仿宋" w:cs="Arial"/>
                <w:kern w:val="0"/>
                <w:szCs w:val="21"/>
              </w:rPr>
              <w:t>编制数：机构编制部门核定批复的部门人员编制数。</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目标值≤100%；达到目标值得3分，每超出1人扣0.1分，扣完为止。</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“三公经费”变动率（4分）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部门本年度“三公经费”预算数与上年度“三公经费”预算数的变动比率，用以反映和考核部门对控制重点行政成本的努力程度。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“三公经费”变动率=〔（本年度“三公经费”总额-上年度“三公经费”总额）/上年度“三公经费”总额〕×100%</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“三公经费”：年度预算安排的因公出国（境）费、公务车辆购置及运行费和公务招待费。</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目标值≤0；达到目标值得4分，未达到目标值的采用比率扣分法：扣分值=“三公经费”变动率×4×10，变动率达10%以上的扣4分。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重点支出安排率（3分）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部门（单位）本年度预算安排的重点项目支出与部门项目总支出的比率，用以反映和考核部门（单位）对履行主要职责或完成重点任务的保障程度。重点支出安排率=（重点项目支出/项目总支出）×100%。</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项目总支出：部门（单位）年度预算安排的项目支出总额。</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w:t>
            </w:r>
            <w:r>
              <w:rPr>
                <w:rFonts w:hint="eastAsia" w:ascii="仿宋" w:hAnsi="仿宋" w:eastAsia="仿宋" w:cs="宋体"/>
                <w:kern w:val="0"/>
                <w:szCs w:val="21"/>
              </w:rPr>
              <w:t>≥70%</w:t>
            </w:r>
            <w:r>
              <w:rPr>
                <w:rFonts w:hint="eastAsia" w:ascii="仿宋" w:hAnsi="仿宋" w:eastAsia="仿宋" w:cs="Arial"/>
                <w:kern w:val="0"/>
                <w:szCs w:val="21"/>
              </w:rPr>
              <w:t>；以3分为上限，采用完成比率法计分：得分=重点支出安排率/70%×100%×3，超出目标值不加分。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仿宋" w:cs="Arial"/>
                <w:kern w:val="0"/>
                <w:sz w:val="20"/>
                <w:szCs w:val="24"/>
              </w:rPr>
            </w:pPr>
            <w:r>
              <w:rPr>
                <w:rFonts w:hint="eastAsia" w:ascii="宋体" w:hAnsi="宋体" w:eastAsia="仿宋" w:cs="Arial"/>
                <w:kern w:val="0"/>
                <w:sz w:val="20"/>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rPr>
              <w:t>(55分)</w:t>
            </w: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jc w:val="center"/>
              <w:rPr>
                <w:rFonts w:ascii="仿宋" w:hAnsi="仿宋" w:eastAsia="仿宋" w:cs="宋体"/>
                <w:kern w:val="0"/>
                <w:sz w:val="24"/>
                <w:szCs w:val="24"/>
              </w:rPr>
            </w:pP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预算执行</w:t>
            </w:r>
            <w:r>
              <w:rPr>
                <w:rFonts w:hint="eastAsia" w:ascii="仿宋" w:hAnsi="仿宋" w:eastAsia="仿宋" w:cs="Arial"/>
                <w:kern w:val="0"/>
                <w:sz w:val="24"/>
                <w:szCs w:val="24"/>
              </w:rPr>
              <w:t>(</w:t>
            </w:r>
            <w:r>
              <w:rPr>
                <w:rFonts w:ascii="仿宋" w:hAnsi="仿宋" w:eastAsia="仿宋" w:cs="Arial"/>
                <w:kern w:val="0"/>
                <w:sz w:val="24"/>
                <w:szCs w:val="24"/>
              </w:rPr>
              <w:t>27</w:t>
            </w:r>
            <w:r>
              <w:rPr>
                <w:rFonts w:hint="eastAsia" w:ascii="仿宋" w:hAnsi="仿宋" w:eastAsia="仿宋" w:cs="Arial"/>
                <w:kern w:val="0"/>
                <w:sz w:val="24"/>
                <w:szCs w:val="24"/>
              </w:rPr>
              <w:t>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预算完成率（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通过对部门本年度预算完成数与预算数的比较，反映和评价部门预算的完成程度。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预算完成率</w:t>
            </w:r>
            <w:r>
              <w:rPr>
                <w:rFonts w:hint="eastAsia" w:ascii="仿宋" w:hAnsi="仿宋" w:eastAsia="仿宋" w:cs="Arial"/>
                <w:kern w:val="0"/>
                <w:szCs w:val="21"/>
              </w:rPr>
              <w:t>=</w:t>
            </w:r>
            <w:r>
              <w:rPr>
                <w:rFonts w:ascii="仿宋" w:hAnsi="仿宋" w:eastAsia="仿宋" w:cs="Arial"/>
                <w:kern w:val="0"/>
                <w:szCs w:val="21"/>
              </w:rPr>
              <w:t>（预算完成数</w:t>
            </w:r>
            <w:r>
              <w:rPr>
                <w:rFonts w:hint="eastAsia" w:ascii="仿宋" w:hAnsi="仿宋" w:eastAsia="仿宋" w:cs="Arial"/>
                <w:kern w:val="0"/>
                <w:szCs w:val="21"/>
              </w:rPr>
              <w:t>/</w:t>
            </w:r>
            <w:r>
              <w:rPr>
                <w:rFonts w:ascii="仿宋" w:hAnsi="仿宋" w:eastAsia="仿宋" w:cs="Arial"/>
                <w:kern w:val="0"/>
                <w:szCs w:val="21"/>
              </w:rPr>
              <w:t>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达到目标值的得3分；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100%＞结果≥90%，得3分；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90%＞结果≥80%，得1分；</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结果＜</w:t>
            </w:r>
            <w:r>
              <w:rPr>
                <w:rFonts w:hint="eastAsia" w:ascii="仿宋" w:hAnsi="仿宋" w:eastAsia="仿宋" w:cs="宋体"/>
                <w:kern w:val="0"/>
                <w:szCs w:val="21"/>
              </w:rPr>
              <w:t>80%得0分。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预算调整率（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部门本年度预算调整数与预算数的比率，用以反映和评价部门预算的调整程度。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预算调整率</w:t>
            </w:r>
            <w:r>
              <w:rPr>
                <w:rFonts w:hint="eastAsia" w:ascii="仿宋" w:hAnsi="仿宋" w:eastAsia="仿宋" w:cs="Arial"/>
                <w:kern w:val="0"/>
                <w:szCs w:val="21"/>
              </w:rPr>
              <w:t>=</w:t>
            </w:r>
            <w:r>
              <w:rPr>
                <w:rFonts w:ascii="仿宋" w:hAnsi="仿宋" w:eastAsia="仿宋" w:cs="Arial"/>
                <w:kern w:val="0"/>
                <w:szCs w:val="21"/>
              </w:rPr>
              <w:t>（预算调整数</w:t>
            </w:r>
            <w:r>
              <w:rPr>
                <w:rFonts w:hint="eastAsia" w:ascii="仿宋" w:hAnsi="仿宋" w:eastAsia="仿宋" w:cs="Arial"/>
                <w:kern w:val="0"/>
                <w:szCs w:val="21"/>
              </w:rPr>
              <w:t>/</w:t>
            </w:r>
            <w:r>
              <w:rPr>
                <w:rFonts w:ascii="仿宋" w:hAnsi="仿宋" w:eastAsia="仿宋" w:cs="Arial"/>
                <w:kern w:val="0"/>
                <w:szCs w:val="21"/>
              </w:rPr>
              <w:t>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目标值为10%；达到目标值得3分，未达到目标值的每增加0.1个百分点扣0.1分，扣完为止。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color w:val="000000"/>
                <w:kern w:val="0"/>
                <w:szCs w:val="21"/>
              </w:rPr>
              <w:t>支付进度率</w:t>
            </w:r>
            <w:r>
              <w:rPr>
                <w:rFonts w:ascii="仿宋" w:hAnsi="仿宋" w:eastAsia="仿宋" w:cs="Arial"/>
                <w:kern w:val="0"/>
                <w:szCs w:val="21"/>
              </w:rPr>
              <w:t>（</w:t>
            </w:r>
            <w:r>
              <w:rPr>
                <w:rFonts w:hint="eastAsia" w:ascii="仿宋" w:hAnsi="仿宋" w:eastAsia="仿宋" w:cs="Arial"/>
                <w:kern w:val="0"/>
                <w:szCs w:val="21"/>
              </w:rPr>
              <w:t>6分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w:t>
            </w:r>
            <w:r>
              <w:rPr>
                <w:rFonts w:hint="eastAsia" w:ascii="仿宋" w:hAnsi="仿宋" w:eastAsia="仿宋" w:cs="Arial"/>
                <w:kern w:val="0"/>
                <w:szCs w:val="21"/>
              </w:rPr>
              <w:t>年</w:t>
            </w:r>
            <w:r>
              <w:rPr>
                <w:rFonts w:ascii="仿宋" w:hAnsi="仿宋" w:eastAsia="仿宋" w:cs="Arial"/>
                <w:kern w:val="0"/>
                <w:szCs w:val="21"/>
              </w:rPr>
              <w:t>度支付数与</w:t>
            </w:r>
            <w:r>
              <w:rPr>
                <w:rFonts w:hint="eastAsia" w:ascii="仿宋" w:hAnsi="仿宋" w:eastAsia="仿宋" w:cs="Arial"/>
                <w:kern w:val="0"/>
                <w:szCs w:val="21"/>
              </w:rPr>
              <w:t>年</w:t>
            </w:r>
            <w:r>
              <w:rPr>
                <w:rFonts w:ascii="仿宋" w:hAnsi="仿宋" w:eastAsia="仿宋" w:cs="Arial"/>
                <w:kern w:val="0"/>
                <w:szCs w:val="21"/>
              </w:rPr>
              <w:t>度</w:t>
            </w:r>
            <w:r>
              <w:rPr>
                <w:rFonts w:hint="eastAsia" w:ascii="仿宋" w:hAnsi="仿宋" w:eastAsia="仿宋" w:cs="Arial"/>
                <w:kern w:val="0"/>
                <w:szCs w:val="21"/>
              </w:rPr>
              <w:t>预算（调整）</w:t>
            </w:r>
            <w:r>
              <w:rPr>
                <w:rFonts w:ascii="仿宋" w:hAnsi="仿宋" w:eastAsia="仿宋" w:cs="Arial"/>
                <w:kern w:val="0"/>
                <w:szCs w:val="21"/>
              </w:rPr>
              <w:t>数的比率，用以反映和评价部门预算执行的及时和均衡程度。</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半年支付进度=部门上半年实际支出÷（上年结余结转+本年部门预算安排+上半年执行中追加追减）×100%</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全年支付进度=部门全年实际支出÷（上年结余结转+本年部门预算安排+全年执行中追加追减）×100%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半年进度：结果≥50%，得2分；50%＞结果≥40%，得1分；结果＜40%，得0分。</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全年进度：结果≥100%，得4分；100%＞结果≥95%，得3分；95%＞结果≥90%，得2分；90%＞结果≥85%，得2分；结果＜85%，得0分。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24"/>
                <w:szCs w:val="24"/>
              </w:rPr>
            </w:pPr>
            <w:r>
              <w:rPr>
                <w:rFonts w:hint="eastAsia" w:ascii="宋体" w:hAnsi="宋体" w:eastAsia="仿宋" w:cs="Arial"/>
                <w:kern w:val="0"/>
                <w:sz w:val="20"/>
                <w:szCs w:val="24"/>
              </w:rPr>
              <w:t>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结转结余率（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通过对部门本年度结转结余总额与支出预算数的比较，反映和评价部门对本年度结转结余资金的实际控制程度。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结转结余率</w:t>
            </w:r>
            <w:r>
              <w:rPr>
                <w:rFonts w:hint="eastAsia" w:ascii="仿宋" w:hAnsi="仿宋" w:eastAsia="仿宋" w:cs="Arial"/>
                <w:kern w:val="0"/>
                <w:szCs w:val="21"/>
              </w:rPr>
              <w:t>=</w:t>
            </w:r>
            <w:r>
              <w:rPr>
                <w:rFonts w:ascii="仿宋" w:hAnsi="仿宋" w:eastAsia="仿宋" w:cs="Arial"/>
                <w:kern w:val="0"/>
                <w:szCs w:val="21"/>
              </w:rPr>
              <w:t>（结转结余总额</w:t>
            </w:r>
            <w:r>
              <w:rPr>
                <w:rFonts w:hint="eastAsia" w:ascii="仿宋" w:hAnsi="仿宋" w:eastAsia="仿宋" w:cs="Arial"/>
                <w:kern w:val="0"/>
                <w:szCs w:val="21"/>
              </w:rPr>
              <w:t>/</w:t>
            </w:r>
            <w:r>
              <w:rPr>
                <w:rFonts w:ascii="仿宋" w:hAnsi="仿宋" w:eastAsia="仿宋" w:cs="Arial"/>
                <w:kern w:val="0"/>
                <w:szCs w:val="21"/>
              </w:rPr>
              <w:t>支出预算数）×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结转结余变动率(3分）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部门本年度结转结余资金总额与上年度结转结余资金总额的变动比率，用以反映和考核部门对控制结转结余资金的努力程度。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结转结余变动率=〔（本年度累计结转结余资金总额-上年度累计结转结余资金总额）/上年度累计结转结余资金总额〕×100%。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目标值为≤0%；达到目标值得3分，未达到目标值的采用比率扣分法：扣分值=结转结余变动率×2×10，变动率达10%以上的扣2分。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宋体" w:hAnsi="宋体" w:eastAsia="仿宋" w:cs="Arial"/>
                <w:kern w:val="0"/>
                <w:sz w:val="20"/>
                <w:szCs w:val="24"/>
              </w:rPr>
            </w:pPr>
            <w:r>
              <w:rPr>
                <w:rFonts w:hint="eastAsia" w:ascii="宋体" w:hAnsi="宋体" w:eastAsia="仿宋" w:cs="Arial"/>
                <w:kern w:val="0"/>
                <w:sz w:val="20"/>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公用经费控制率（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通过对部门本年度实际支出的公用经费总额与预算安排的公用经费总额的比率，反映和评价部门对机构运转成本的实际控制程度。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公用经费控制率</w:t>
            </w:r>
            <w:r>
              <w:rPr>
                <w:rFonts w:hint="eastAsia" w:ascii="仿宋" w:hAnsi="仿宋" w:eastAsia="仿宋" w:cs="Arial"/>
                <w:kern w:val="0"/>
                <w:szCs w:val="21"/>
              </w:rPr>
              <w:t>=</w:t>
            </w:r>
            <w:r>
              <w:rPr>
                <w:rFonts w:ascii="仿宋" w:hAnsi="仿宋" w:eastAsia="仿宋" w:cs="Arial"/>
                <w:kern w:val="0"/>
                <w:szCs w:val="21"/>
              </w:rPr>
              <w:t>（实际支出公用经费总额</w:t>
            </w:r>
            <w:r>
              <w:rPr>
                <w:rFonts w:hint="eastAsia" w:ascii="仿宋" w:hAnsi="仿宋" w:eastAsia="仿宋" w:cs="Arial"/>
                <w:kern w:val="0"/>
                <w:szCs w:val="21"/>
              </w:rPr>
              <w:t>/</w:t>
            </w:r>
            <w:r>
              <w:rPr>
                <w:rFonts w:ascii="仿宋" w:hAnsi="仿宋" w:eastAsia="仿宋" w:cs="Arial"/>
                <w:kern w:val="0"/>
                <w:szCs w:val="21"/>
              </w:rPr>
              <w:t>预算安排公用经费总额）×</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“三公经费”控制率（3分）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部门（单位）本年度“三公经费”实际支出数与预算安排数的比率，用以反映和考核部门（单位）对“三公经费”的实际控制程度。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“三公经费”控制率=（“三公经费”实际支出/“三公经费”预算安排数）×100%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宋体" w:hAnsi="宋体" w:eastAsia="仿宋" w:cs="Arial"/>
                <w:kern w:val="0"/>
                <w:sz w:val="20"/>
                <w:szCs w:val="24"/>
              </w:rPr>
            </w:pPr>
            <w:r>
              <w:rPr>
                <w:rFonts w:hint="eastAsia" w:ascii="宋体" w:hAnsi="宋体" w:eastAsia="仿宋" w:cs="Arial"/>
                <w:kern w:val="0"/>
                <w:sz w:val="20"/>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政府采购执行率（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通过对部门本年度实际政府采购预算项目个数与政府采购预算项目个数的比较，反映和评价部门政府采购预算执行情况。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政府采购执行率</w:t>
            </w:r>
            <w:r>
              <w:rPr>
                <w:rFonts w:hint="eastAsia" w:ascii="仿宋" w:hAnsi="仿宋" w:eastAsia="仿宋" w:cs="Arial"/>
                <w:kern w:val="0"/>
                <w:szCs w:val="21"/>
              </w:rPr>
              <w:t>=</w:t>
            </w:r>
            <w:r>
              <w:rPr>
                <w:rFonts w:ascii="仿宋" w:hAnsi="仿宋" w:eastAsia="仿宋" w:cs="Arial"/>
                <w:kern w:val="0"/>
                <w:szCs w:val="21"/>
              </w:rPr>
              <w:t>（实际政府采购预算项目个数</w:t>
            </w:r>
            <w:r>
              <w:rPr>
                <w:rFonts w:hint="eastAsia" w:ascii="仿宋" w:hAnsi="仿宋" w:eastAsia="仿宋" w:cs="Arial"/>
                <w:kern w:val="0"/>
                <w:szCs w:val="21"/>
              </w:rPr>
              <w:t>/</w:t>
            </w:r>
            <w:r>
              <w:rPr>
                <w:rFonts w:ascii="仿宋" w:hAnsi="仿宋" w:eastAsia="仿宋" w:cs="Arial"/>
                <w:kern w:val="0"/>
                <w:szCs w:val="21"/>
              </w:rPr>
              <w:t>政府采购预算项目个数）×</w:t>
            </w:r>
            <w:r>
              <w:rPr>
                <w:rFonts w:hint="eastAsia" w:ascii="仿宋" w:hAnsi="仿宋" w:eastAsia="仿宋" w:cs="Arial"/>
                <w:kern w:val="0"/>
                <w:szCs w:val="21"/>
              </w:rPr>
              <w:t>100%</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政府采购项目中非预算内安排的项目除外。</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目标值为100%；以3分为上限，采用完成比率法计分：得分=政府采购执行率×3。</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仿宋" w:hAnsi="仿宋" w:eastAsia="仿宋" w:cs="宋体"/>
                <w:kern w:val="0"/>
                <w:sz w:val="24"/>
                <w:szCs w:val="24"/>
              </w:rPr>
            </w:pPr>
            <w:r>
              <w:rPr>
                <w:rFonts w:ascii="仿宋" w:hAnsi="仿宋" w:eastAsia="仿宋" w:cs="Arial"/>
                <w:kern w:val="0"/>
                <w:sz w:val="24"/>
                <w:szCs w:val="24"/>
              </w:rPr>
              <w:t>预算管理</w:t>
            </w:r>
          </w:p>
          <w:p>
            <w:pPr>
              <w:spacing w:line="68" w:lineRule="atLeast"/>
              <w:jc w:val="center"/>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18分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管理制度健全性</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部门为加强预算管理，规范财务行为而制定的管理制度是否健全完整，用以反映和考核部门预算管理制度对完成主要职责或促进事业发展的保障情况。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评价要点：</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1．是否已制定或具有预算资金管理办法、内部财务管理制度、会计核算制度等管理制度；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2.相关管理制度是否合法、合规、完整；</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3.相关管理制度是否得到有效执行。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宋体" w:hAnsi="宋体" w:eastAsia="仿宋" w:cs="Arial"/>
                <w:kern w:val="0"/>
                <w:sz w:val="20"/>
                <w:szCs w:val="24"/>
              </w:rPr>
            </w:pPr>
            <w:r>
              <w:rPr>
                <w:rFonts w:hint="eastAsia" w:ascii="宋体" w:hAnsi="宋体" w:eastAsia="仿宋" w:cs="Arial"/>
                <w:kern w:val="0"/>
                <w:sz w:val="20"/>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资金使用合规性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9分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部门使用预算资金是否符合相关的预算财务管理制度的规定，反映和评价部门预算资金的规范运行情况。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符合国家财经法规和财务管理制度规定以及有关部门资金管理办法的规定；</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资金的拨付有完整的审批过程和手续；</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项目的重大开支经过评估论证；</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4.</w:t>
            </w:r>
            <w:r>
              <w:rPr>
                <w:rFonts w:ascii="仿宋" w:hAnsi="仿宋" w:eastAsia="仿宋" w:cs="Arial"/>
                <w:kern w:val="0"/>
                <w:szCs w:val="21"/>
              </w:rPr>
              <w:t>符合部门预算批复的用途；</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5.</w:t>
            </w:r>
            <w:r>
              <w:rPr>
                <w:rFonts w:ascii="仿宋" w:hAnsi="仿宋" w:eastAsia="仿宋" w:cs="Arial"/>
                <w:kern w:val="0"/>
                <w:szCs w:val="21"/>
              </w:rPr>
              <w:t>不存在截留情况；</w:t>
            </w:r>
            <w:r>
              <w:rPr>
                <w:rFonts w:hint="eastAsia" w:ascii="仿宋" w:hAnsi="仿宋" w:eastAsia="仿宋" w:cs="Arial"/>
                <w:kern w:val="0"/>
                <w:szCs w:val="21"/>
              </w:rPr>
              <w:t>6.</w:t>
            </w:r>
            <w:r>
              <w:rPr>
                <w:rFonts w:ascii="仿宋" w:hAnsi="仿宋" w:eastAsia="仿宋" w:cs="Arial"/>
                <w:kern w:val="0"/>
                <w:szCs w:val="21"/>
              </w:rPr>
              <w:t>不存在挤占情况；</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7.</w:t>
            </w:r>
            <w:r>
              <w:rPr>
                <w:rFonts w:ascii="仿宋" w:hAnsi="仿宋" w:eastAsia="仿宋" w:cs="Arial"/>
                <w:kern w:val="0"/>
                <w:szCs w:val="21"/>
              </w:rPr>
              <w:t>不存在挪用情况；</w:t>
            </w:r>
            <w:r>
              <w:rPr>
                <w:rFonts w:hint="eastAsia" w:ascii="仿宋" w:hAnsi="仿宋" w:eastAsia="仿宋" w:cs="Arial"/>
                <w:kern w:val="0"/>
                <w:szCs w:val="21"/>
              </w:rPr>
              <w:t>8.</w:t>
            </w:r>
            <w:r>
              <w:rPr>
                <w:rFonts w:ascii="仿宋" w:hAnsi="仿宋" w:eastAsia="仿宋" w:cs="Arial"/>
                <w:kern w:val="0"/>
                <w:szCs w:val="21"/>
              </w:rPr>
              <w:t>不存在虚列支出情况。</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9分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符合其中七项（</w:t>
            </w:r>
            <w:r>
              <w:rPr>
                <w:rFonts w:hint="eastAsia" w:ascii="仿宋" w:hAnsi="仿宋" w:eastAsia="仿宋" w:cs="Arial"/>
                <w:kern w:val="0"/>
                <w:szCs w:val="21"/>
              </w:rPr>
              <w:t>8分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符合其中六项（</w:t>
            </w:r>
            <w:r>
              <w:rPr>
                <w:rFonts w:hint="eastAsia" w:ascii="仿宋" w:hAnsi="仿宋" w:eastAsia="仿宋" w:cs="Arial"/>
                <w:kern w:val="0"/>
                <w:szCs w:val="21"/>
              </w:rPr>
              <w:t>5分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符合其中五项（</w:t>
            </w:r>
            <w:r>
              <w:rPr>
                <w:rFonts w:hint="eastAsia" w:ascii="仿宋" w:hAnsi="仿宋" w:eastAsia="仿宋" w:cs="Arial"/>
                <w:kern w:val="0"/>
                <w:szCs w:val="21"/>
              </w:rPr>
              <w:t>3分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符合其中四项及以下（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预决算信息公开性（</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部门是否按照政府信息公开有关规定公开相关预决算信息，用以反映和评价部门预决算管理的公开透明情况。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预决算信息是指与部门预算、执行、决算、监督、绩效等管理相关的信息。</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公开预决算信息；</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按规定内容公开预决算信息；</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按规定时限公开预决算信息。</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3分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2分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Cs w:val="21"/>
              </w:rPr>
            </w:pPr>
            <w:r>
              <w:rPr>
                <w:rFonts w:ascii="仿宋" w:hAnsi="仿宋" w:eastAsia="仿宋" w:cs="Arial"/>
                <w:color w:val="000000"/>
                <w:kern w:val="0"/>
                <w:szCs w:val="21"/>
              </w:rPr>
              <w:t>基础信息完善性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部门基础信息是否完善，用以反映和评价基础信息对预算管理工作的支撑情况。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基本财务管理制度健全；</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基础数据信息和会计信息资料真实；</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基础数据信息和会计信息资料完整；</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4.</w:t>
            </w:r>
            <w:r>
              <w:rPr>
                <w:rFonts w:ascii="仿宋" w:hAnsi="仿宋" w:eastAsia="仿宋" w:cs="Arial"/>
                <w:kern w:val="0"/>
                <w:szCs w:val="21"/>
              </w:rPr>
              <w:t>基础数据信息和会计信息资料准确。</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符合全部四项（</w:t>
            </w:r>
            <w:r>
              <w:rPr>
                <w:rFonts w:hint="eastAsia" w:ascii="仿宋" w:hAnsi="仿宋" w:eastAsia="仿宋" w:cs="Arial"/>
                <w:kern w:val="0"/>
                <w:szCs w:val="21"/>
              </w:rPr>
              <w:t>4分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符合其中三项（</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left w:val="single" w:color="000000" w:sz="4" w:space="0"/>
              <w:right w:val="single" w:color="000000" w:sz="4" w:space="0"/>
            </w:tcBorders>
            <w:vAlign w:val="center"/>
          </w:tcPr>
          <w:p>
            <w:pPr>
              <w:spacing w:line="68" w:lineRule="atLeast"/>
              <w:jc w:val="left"/>
              <w:rPr>
                <w:rFonts w:ascii="仿宋" w:hAnsi="仿宋" w:eastAsia="仿宋" w:cs="宋体"/>
                <w:kern w:val="0"/>
                <w:sz w:val="24"/>
                <w:szCs w:val="24"/>
              </w:rPr>
            </w:pPr>
            <w:r>
              <w:rPr>
                <w:rFonts w:ascii="仿宋" w:hAnsi="仿宋" w:eastAsia="仿宋" w:cs="Arial"/>
                <w:kern w:val="0"/>
                <w:sz w:val="24"/>
                <w:szCs w:val="24"/>
              </w:rPr>
              <w:t>资产管理（8</w:t>
            </w:r>
            <w:r>
              <w:rPr>
                <w:rFonts w:hint="eastAsia" w:ascii="仿宋" w:hAnsi="仿宋" w:eastAsia="仿宋" w:cs="Arial"/>
                <w:kern w:val="0"/>
                <w:sz w:val="24"/>
                <w:szCs w:val="24"/>
              </w:rPr>
              <w:t>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Cs w:val="21"/>
              </w:rPr>
            </w:pPr>
            <w:r>
              <w:rPr>
                <w:rFonts w:hint="eastAsia" w:ascii="仿宋" w:hAnsi="仿宋" w:eastAsia="仿宋" w:cs="Arial"/>
                <w:color w:val="000000"/>
                <w:kern w:val="0"/>
                <w:szCs w:val="21"/>
              </w:rPr>
              <w:t>管理制度健全性</w:t>
            </w:r>
          </w:p>
          <w:p>
            <w:pPr>
              <w:widowControl/>
              <w:spacing w:line="68" w:lineRule="atLeast"/>
              <w:jc w:val="left"/>
              <w:rPr>
                <w:rFonts w:ascii="仿宋" w:hAnsi="仿宋" w:eastAsia="仿宋" w:cs="Arial"/>
                <w:color w:val="000000"/>
                <w:kern w:val="0"/>
                <w:szCs w:val="21"/>
              </w:rPr>
            </w:pPr>
            <w:r>
              <w:rPr>
                <w:rFonts w:hint="eastAsia" w:ascii="仿宋" w:hAnsi="仿宋" w:eastAsia="仿宋" w:cs="Arial"/>
                <w:color w:val="000000"/>
                <w:kern w:val="0"/>
                <w:szCs w:val="21"/>
              </w:rPr>
              <w:t>（2分）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部门为加强资产管理、规范资产管理行为而制定的管理制度是否健全完整，用以反映和考核部门资产管理制度对完成主要职责或促进社会发展的保障情况。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1.是否已制定或具有资产管理制度；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2.相关资金管理制度是否合法、合规、完整；</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3.相关资产管理制度是否得到有效执行。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Arial"/>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仿宋" w:cs="Arial"/>
                <w:kern w:val="0"/>
                <w:sz w:val="20"/>
                <w:szCs w:val="24"/>
              </w:rPr>
            </w:pPr>
            <w:r>
              <w:rPr>
                <w:rFonts w:hint="eastAsia" w:ascii="宋体" w:hAnsi="宋体" w:eastAsia="仿宋" w:cs="Arial"/>
                <w:kern w:val="0"/>
                <w:sz w:val="20"/>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资产管理完</w:t>
            </w:r>
            <w:r>
              <w:rPr>
                <w:rFonts w:hint="eastAsia" w:ascii="仿宋" w:hAnsi="仿宋" w:eastAsia="仿宋" w:cs="Arial"/>
                <w:kern w:val="0"/>
                <w:szCs w:val="21"/>
              </w:rPr>
              <w:t>全</w:t>
            </w:r>
            <w:r>
              <w:rPr>
                <w:rFonts w:ascii="仿宋" w:hAnsi="仿宋" w:eastAsia="仿宋" w:cs="Arial"/>
                <w:kern w:val="0"/>
                <w:szCs w:val="21"/>
              </w:rPr>
              <w:t>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部门的资产是否保存完整、使用合规、收入及时足额上缴，用以反映和评价部门资产运行情况。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资产保存完整；</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资产账务管理是否合规，帐实相符；</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资产有偿使用及处置收入及时足额上缴。</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符合全部三项（</w:t>
            </w:r>
            <w:r>
              <w:rPr>
                <w:rFonts w:hint="eastAsia" w:ascii="仿宋" w:hAnsi="仿宋" w:eastAsia="仿宋" w:cs="Arial"/>
                <w:kern w:val="0"/>
                <w:szCs w:val="21"/>
              </w:rPr>
              <w:t>3分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符合其中一项（</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符合零项（</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固定资产利用率</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部门实际在用固定资产总额与所有固定资产总额的比率，用以反映和评价部门固定资产使用效率。</w:t>
            </w:r>
          </w:p>
          <w:p>
            <w:pPr>
              <w:widowControl/>
              <w:spacing w:line="68" w:lineRule="atLeast"/>
              <w:jc w:val="left"/>
              <w:rPr>
                <w:rFonts w:ascii="仿宋" w:hAnsi="仿宋" w:eastAsia="仿宋" w:cs="宋体"/>
                <w:kern w:val="0"/>
                <w:szCs w:val="21"/>
              </w:rPr>
            </w:pPr>
            <w:r>
              <w:rPr>
                <w:rFonts w:ascii="仿宋" w:hAnsi="仿宋" w:eastAsia="仿宋" w:cs="Arial"/>
                <w:kern w:val="0"/>
                <w:szCs w:val="21"/>
              </w:rPr>
              <w:t>固定资产利用率</w:t>
            </w:r>
            <w:r>
              <w:rPr>
                <w:rFonts w:hint="eastAsia" w:ascii="仿宋" w:hAnsi="仿宋" w:eastAsia="仿宋" w:cs="Arial"/>
                <w:kern w:val="0"/>
                <w:szCs w:val="21"/>
              </w:rPr>
              <w:t>=</w:t>
            </w:r>
            <w:r>
              <w:rPr>
                <w:rFonts w:ascii="仿宋" w:hAnsi="仿宋" w:eastAsia="仿宋" w:cs="Arial"/>
                <w:kern w:val="0"/>
                <w:szCs w:val="21"/>
              </w:rPr>
              <w:t>（实际在用固定资产总额</w:t>
            </w:r>
            <w:r>
              <w:rPr>
                <w:rFonts w:hint="eastAsia" w:ascii="仿宋" w:hAnsi="仿宋" w:eastAsia="仿宋" w:cs="Arial"/>
                <w:kern w:val="0"/>
                <w:szCs w:val="21"/>
              </w:rPr>
              <w:t>/</w:t>
            </w:r>
            <w:r>
              <w:rPr>
                <w:rFonts w:ascii="仿宋" w:hAnsi="仿宋" w:eastAsia="仿宋" w:cs="Arial"/>
                <w:kern w:val="0"/>
                <w:szCs w:val="21"/>
              </w:rPr>
              <w:t>所有固定资产总额）×</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目标值为80%；以3分为上限，采用完成比率法计分：得分=固定资产利用率/80%×100%×3，超出目标值不加分。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预算绩效监控管理（2分）</w:t>
            </w: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监控率</w:t>
            </w:r>
            <w:r>
              <w:rPr>
                <w:rFonts w:hint="eastAsia" w:ascii="仿宋" w:hAnsi="仿宋" w:eastAsia="仿宋" w:cs="宋体"/>
                <w:kern w:val="0"/>
                <w:szCs w:val="21"/>
              </w:rPr>
              <w:t>（2分）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部门（单位）纳入绩效监控的项目数量占实际申报绩效目标项目数量的比重，用以反映和考核部门（单位）在项目运行中实施绩效管理的水平和程度。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监控率=实施绩效监控项目数/实际申报绩效目标项目数×100%</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目标值为90%；以2分为上限，采用完成比率法计分：得分=监控率×2，超出目标值不加分。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ind w:firstLine="100" w:firstLineChars="50"/>
              <w:jc w:val="left"/>
              <w:rPr>
                <w:rFonts w:ascii="宋体" w:hAnsi="宋体" w:eastAsia="仿宋" w:cs="Arial"/>
                <w:kern w:val="0"/>
                <w:sz w:val="20"/>
                <w:szCs w:val="24"/>
              </w:rPr>
            </w:pPr>
            <w:r>
              <w:rPr>
                <w:rFonts w:hint="eastAsia" w:ascii="宋体" w:hAnsi="宋体" w:eastAsia="仿宋" w:cs="Arial"/>
                <w:kern w:val="0"/>
                <w:sz w:val="20"/>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产出</w:t>
            </w:r>
            <w:r>
              <w:rPr>
                <w:rFonts w:hint="eastAsia" w:ascii="仿宋" w:hAnsi="仿宋" w:eastAsia="仿宋" w:cs="Arial"/>
                <w:kern w:val="0"/>
                <w:sz w:val="24"/>
                <w:szCs w:val="24"/>
              </w:rPr>
              <w:t>(15分)</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职责履行（</w:t>
            </w:r>
            <w:r>
              <w:rPr>
                <w:rFonts w:hint="eastAsia" w:ascii="仿宋" w:hAnsi="仿宋" w:eastAsia="仿宋" w:cs="Arial"/>
                <w:kern w:val="0"/>
                <w:sz w:val="24"/>
                <w:szCs w:val="24"/>
              </w:rPr>
              <w:t>15分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项目实际完成率（</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部门履行职责而实际完成的项目数与计划完成的项目数的比率，用以反映和评价部门履职任务目标的实现程度。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项目实际完成率</w:t>
            </w:r>
            <w:r>
              <w:rPr>
                <w:rFonts w:hint="eastAsia" w:ascii="仿宋" w:hAnsi="仿宋" w:eastAsia="仿宋" w:cs="Arial"/>
                <w:kern w:val="0"/>
                <w:szCs w:val="21"/>
              </w:rPr>
              <w:t>=</w:t>
            </w:r>
            <w:r>
              <w:rPr>
                <w:rFonts w:ascii="仿宋" w:hAnsi="仿宋" w:eastAsia="仿宋" w:cs="Arial"/>
                <w:kern w:val="0"/>
                <w:szCs w:val="21"/>
              </w:rPr>
              <w:t>（实际完成项目数</w:t>
            </w:r>
            <w:r>
              <w:rPr>
                <w:rFonts w:hint="eastAsia" w:ascii="仿宋" w:hAnsi="仿宋" w:eastAsia="仿宋" w:cs="Arial"/>
                <w:kern w:val="0"/>
                <w:szCs w:val="21"/>
              </w:rPr>
              <w:t>/</w:t>
            </w:r>
            <w:r>
              <w:rPr>
                <w:rFonts w:ascii="仿宋" w:hAnsi="仿宋" w:eastAsia="仿宋" w:cs="Arial"/>
                <w:kern w:val="0"/>
                <w:szCs w:val="21"/>
              </w:rPr>
              <w:t>计划完成项目数）×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目标值为100%；</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达到目标值得4分；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100%＞结果≥95%，得3分；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95%＞结果≥90%，得2分；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90%＞结果≥85%，得1分；</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结果＜</w:t>
            </w:r>
            <w:r>
              <w:rPr>
                <w:rFonts w:hint="eastAsia" w:ascii="仿宋" w:hAnsi="仿宋" w:eastAsia="仿宋" w:cs="宋体"/>
                <w:kern w:val="0"/>
                <w:szCs w:val="21"/>
              </w:rPr>
              <w:t>85%得0分。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宋体" w:cs="宋体"/>
                <w:kern w:val="0"/>
                <w:sz w:val="20"/>
                <w:szCs w:val="24"/>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项目质量达标率（</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部门已完成项目中质量达标项目个数占已完成项目个数的比率</w:t>
            </w:r>
            <w:r>
              <w:rPr>
                <w:rFonts w:hint="eastAsia" w:ascii="仿宋" w:hAnsi="仿宋" w:eastAsia="仿宋" w:cs="Arial"/>
                <w:kern w:val="0"/>
                <w:szCs w:val="21"/>
              </w:rPr>
              <w:t>,</w:t>
            </w:r>
            <w:r>
              <w:rPr>
                <w:rFonts w:ascii="仿宋" w:hAnsi="仿宋" w:eastAsia="仿宋" w:cs="Arial"/>
                <w:kern w:val="0"/>
                <w:szCs w:val="21"/>
              </w:rPr>
              <w:t>用以反映和评价部门履职质量目标的实现程度。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项目质量达标率</w:t>
            </w:r>
            <w:r>
              <w:rPr>
                <w:rFonts w:hint="eastAsia" w:ascii="仿宋" w:hAnsi="仿宋" w:eastAsia="仿宋" w:cs="Arial"/>
                <w:kern w:val="0"/>
                <w:szCs w:val="21"/>
              </w:rPr>
              <w:t>=</w:t>
            </w:r>
            <w:r>
              <w:rPr>
                <w:rFonts w:ascii="仿宋" w:hAnsi="仿宋" w:eastAsia="仿宋" w:cs="Arial"/>
                <w:kern w:val="0"/>
                <w:szCs w:val="21"/>
              </w:rPr>
              <w:t>（已完成项目中质量达标项目个数</w:t>
            </w:r>
            <w:r>
              <w:rPr>
                <w:rFonts w:hint="eastAsia" w:ascii="仿宋" w:hAnsi="仿宋" w:eastAsia="仿宋" w:cs="Arial"/>
                <w:kern w:val="0"/>
                <w:szCs w:val="21"/>
              </w:rPr>
              <w:t>/</w:t>
            </w:r>
            <w:r>
              <w:rPr>
                <w:rFonts w:ascii="仿宋" w:hAnsi="仿宋" w:eastAsia="仿宋" w:cs="Arial"/>
                <w:kern w:val="0"/>
                <w:szCs w:val="21"/>
              </w:rPr>
              <w:t>已完成项目个数）×</w:t>
            </w:r>
            <w:r>
              <w:rPr>
                <w:rFonts w:hint="eastAsia" w:ascii="仿宋" w:hAnsi="仿宋" w:eastAsia="仿宋" w:cs="Arial"/>
                <w:kern w:val="0"/>
                <w:szCs w:val="21"/>
              </w:rPr>
              <w:t>100%</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项目质量达标是指项目决算验收合格。</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目标值100%；以4分为上限，采用完成比率法计分：得分=项目质量达标率×4，</w:t>
            </w:r>
            <w:r>
              <w:rPr>
                <w:rFonts w:hint="eastAsia" w:ascii="仿宋" w:hAnsi="仿宋" w:eastAsia="仿宋" w:cs="Arial"/>
                <w:kern w:val="0"/>
                <w:szCs w:val="21"/>
              </w:rPr>
              <w:t>≤</w:t>
            </w:r>
            <w:r>
              <w:rPr>
                <w:rFonts w:hint="eastAsia" w:ascii="仿宋" w:hAnsi="仿宋" w:eastAsia="仿宋" w:cs="宋体"/>
                <w:kern w:val="0"/>
                <w:szCs w:val="21"/>
              </w:rPr>
              <w:t>95%的扣4分。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宋体" w:cs="宋体"/>
                <w:kern w:val="0"/>
                <w:sz w:val="20"/>
                <w:szCs w:val="24"/>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重点工作办结率</w:t>
            </w:r>
            <w:r>
              <w:rPr>
                <w:rFonts w:ascii="仿宋" w:hAnsi="仿宋" w:eastAsia="仿宋" w:cs="Arial"/>
                <w:kern w:val="0"/>
                <w:szCs w:val="21"/>
              </w:rPr>
              <w:t>（</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部门年度重点工作实际完成数与交办或下达数的比率，用以反映部门对重点工作的办理落实程度。</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重点工作办结率=（重点工作实际完成数/交办或下达数）×100%。</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重点工作是指党委、政府、人大、相关部门交办或下达的工作任务。</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目标值100%；以4分为上限，采用完成比率法计分：得分=重点工作办结率×4，</w:t>
            </w:r>
            <w:r>
              <w:rPr>
                <w:rFonts w:hint="eastAsia" w:ascii="仿宋" w:hAnsi="仿宋" w:eastAsia="仿宋" w:cs="Arial"/>
                <w:kern w:val="0"/>
                <w:szCs w:val="21"/>
              </w:rPr>
              <w:t>≤</w:t>
            </w:r>
            <w:r>
              <w:rPr>
                <w:rFonts w:hint="eastAsia" w:ascii="仿宋" w:hAnsi="仿宋" w:eastAsia="仿宋" w:cs="宋体"/>
                <w:kern w:val="0"/>
                <w:szCs w:val="21"/>
              </w:rPr>
              <w:t>90%的扣4分。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宋体" w:cs="宋体"/>
                <w:kern w:val="0"/>
                <w:sz w:val="20"/>
                <w:szCs w:val="24"/>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部门绩效自评项目占比率（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部门自评项目在所有项目中所占的份额，反映和评价部门对项目自评的重视程度。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占比率</w:t>
            </w:r>
            <w:r>
              <w:rPr>
                <w:rFonts w:hint="eastAsia" w:ascii="仿宋" w:hAnsi="仿宋" w:eastAsia="仿宋" w:cs="Arial"/>
                <w:kern w:val="0"/>
                <w:szCs w:val="21"/>
              </w:rPr>
              <w:t>=(</w:t>
            </w:r>
            <w:r>
              <w:rPr>
                <w:rFonts w:ascii="仿宋" w:hAnsi="仿宋" w:eastAsia="仿宋" w:cs="Arial"/>
                <w:kern w:val="0"/>
                <w:szCs w:val="21"/>
              </w:rPr>
              <w:t>自评项目</w:t>
            </w:r>
            <w:r>
              <w:rPr>
                <w:rFonts w:hint="eastAsia" w:ascii="仿宋" w:hAnsi="仿宋" w:eastAsia="仿宋" w:cs="Arial"/>
                <w:kern w:val="0"/>
                <w:szCs w:val="21"/>
              </w:rPr>
              <w:t>资金量/</w:t>
            </w:r>
            <w:r>
              <w:rPr>
                <w:rFonts w:ascii="仿宋" w:hAnsi="仿宋" w:eastAsia="仿宋" w:cs="Arial"/>
                <w:kern w:val="0"/>
                <w:szCs w:val="21"/>
              </w:rPr>
              <w:t>项目</w:t>
            </w:r>
            <w:r>
              <w:rPr>
                <w:rFonts w:hint="eastAsia" w:ascii="仿宋" w:hAnsi="仿宋" w:eastAsia="仿宋" w:cs="Arial"/>
                <w:kern w:val="0"/>
                <w:szCs w:val="21"/>
              </w:rPr>
              <w:t>支出资金量)×100%</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部门支出项目绩效自评范围：本年度列入本级财政预算安排的项目。</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达到目标值得3分，未达到目标值</w:t>
            </w:r>
            <w:r>
              <w:rPr>
                <w:rFonts w:hint="eastAsia" w:ascii="仿宋" w:hAnsi="仿宋" w:eastAsia="仿宋" w:cs="宋体"/>
                <w:kern w:val="0"/>
                <w:szCs w:val="21"/>
              </w:rPr>
              <w:t>采用完成比率法计分：</w:t>
            </w:r>
            <w:r>
              <w:rPr>
                <w:rFonts w:ascii="仿宋" w:hAnsi="仿宋" w:eastAsia="仿宋" w:cs="Arial"/>
                <w:kern w:val="0"/>
                <w:szCs w:val="21"/>
              </w:rPr>
              <w:t>得分</w:t>
            </w:r>
            <w:r>
              <w:rPr>
                <w:rFonts w:hint="eastAsia" w:ascii="仿宋" w:hAnsi="仿宋" w:eastAsia="仿宋" w:cs="Arial"/>
                <w:kern w:val="0"/>
                <w:szCs w:val="21"/>
              </w:rPr>
              <w:t>=</w:t>
            </w:r>
            <w:r>
              <w:rPr>
                <w:rFonts w:ascii="仿宋" w:hAnsi="仿宋" w:eastAsia="仿宋" w:cs="Arial"/>
                <w:kern w:val="0"/>
                <w:szCs w:val="21"/>
              </w:rPr>
              <w:t>占比率</w:t>
            </w:r>
            <w:r>
              <w:rPr>
                <w:rFonts w:hint="eastAsia" w:ascii="仿宋" w:hAnsi="仿宋" w:eastAsia="仿宋" w:cs="Arial"/>
                <w:kern w:val="0"/>
                <w:szCs w:val="21"/>
              </w:rPr>
              <w:t>/目标值</w:t>
            </w:r>
            <w:r>
              <w:rPr>
                <w:rFonts w:ascii="仿宋" w:hAnsi="仿宋" w:eastAsia="仿宋" w:cs="Arial"/>
                <w:kern w:val="0"/>
                <w:szCs w:val="21"/>
              </w:rPr>
              <w:t>×</w:t>
            </w:r>
            <w:r>
              <w:rPr>
                <w:rFonts w:hint="eastAsia" w:ascii="仿宋" w:hAnsi="仿宋" w:eastAsia="仿宋" w:cs="Arial"/>
                <w:kern w:val="0"/>
                <w:szCs w:val="21"/>
              </w:rPr>
              <w:t>3，超过目标值不加分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宋体" w:hAnsi="宋体" w:eastAsia="宋体" w:cs="宋体"/>
                <w:kern w:val="0"/>
                <w:sz w:val="20"/>
                <w:szCs w:val="24"/>
              </w:rPr>
            </w:pPr>
            <w:r>
              <w:rPr>
                <w:rFonts w:hint="eastAsia" w:ascii="宋体" w:hAnsi="宋体" w:eastAsia="宋体" w:cs="宋体"/>
                <w:kern w:val="0"/>
                <w:sz w:val="20"/>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效果（</w:t>
            </w:r>
            <w:r>
              <w:rPr>
                <w:rFonts w:hint="eastAsia" w:ascii="仿宋" w:hAnsi="仿宋" w:eastAsia="仿宋" w:cs="Arial"/>
                <w:kern w:val="0"/>
                <w:sz w:val="24"/>
                <w:szCs w:val="24"/>
              </w:rPr>
              <w:t>15</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监督发现问题</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违规率（2分）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部门存在违规问题的资金数量占部门预算支出资金总额的比重，用以反映和考核部门预算资金管理使用的合法、合规情况。</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违规率=存在违规问题的资金额/部门预算支出资金总额×100%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宋体"/>
                <w:kern w:val="0"/>
                <w:szCs w:val="21"/>
              </w:rPr>
              <w:t>目标值0，</w:t>
            </w:r>
            <w:r>
              <w:rPr>
                <w:rFonts w:hint="eastAsia" w:ascii="仿宋" w:hAnsi="仿宋" w:eastAsia="仿宋" w:cs="Arial"/>
                <w:kern w:val="0"/>
                <w:szCs w:val="21"/>
              </w:rPr>
              <w:t>达到目标值得2分，未达到目标值的每增加0.1个百分点扣0.1分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宋体" w:cs="宋体"/>
                <w:kern w:val="0"/>
                <w:sz w:val="20"/>
                <w:szCs w:val="24"/>
              </w:rPr>
              <w: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76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工作成效（</w:t>
            </w:r>
            <w:r>
              <w:rPr>
                <w:rFonts w:hint="eastAsia" w:ascii="仿宋" w:hAnsi="仿宋" w:eastAsia="仿宋" w:cs="Arial"/>
                <w:kern w:val="0"/>
                <w:sz w:val="24"/>
                <w:szCs w:val="24"/>
              </w:rPr>
              <w:t>5</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宋体"/>
                <w:bCs/>
                <w:color w:val="000000"/>
                <w:kern w:val="0"/>
                <w:szCs w:val="21"/>
              </w:rPr>
              <w:t>部门预算绩效管理</w:t>
            </w:r>
            <w:r>
              <w:rPr>
                <w:rFonts w:hint="eastAsia" w:ascii="仿宋" w:hAnsi="仿宋" w:eastAsia="仿宋" w:cs="宋体"/>
                <w:bCs/>
                <w:color w:val="000000"/>
                <w:kern w:val="0"/>
                <w:szCs w:val="21"/>
              </w:rPr>
              <w:t>考核评价</w:t>
            </w:r>
            <w:r>
              <w:rPr>
                <w:rFonts w:ascii="仿宋" w:hAnsi="仿宋" w:eastAsia="仿宋" w:cs="Arial"/>
                <w:bCs/>
                <w:kern w:val="0"/>
                <w:szCs w:val="21"/>
              </w:rPr>
              <w:t>（</w:t>
            </w:r>
            <w:r>
              <w:rPr>
                <w:rFonts w:hint="eastAsia" w:ascii="仿宋" w:hAnsi="仿宋" w:eastAsia="仿宋" w:cs="Arial"/>
                <w:bCs/>
                <w:kern w:val="0"/>
                <w:szCs w:val="21"/>
              </w:rPr>
              <w:t>5</w:t>
            </w:r>
            <w:r>
              <w:rPr>
                <w:rFonts w:ascii="仿宋" w:hAnsi="仿宋" w:eastAsia="仿宋" w:cs="Arial"/>
                <w:bCs/>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宋体"/>
                <w:color w:val="000000"/>
                <w:kern w:val="0"/>
                <w:szCs w:val="21"/>
              </w:rPr>
              <w:t>财政部门对部门开展预算绩效管理工作的评价结果，用以反映部门对预算绩效管理工作的重视程度和取得的成效。</w:t>
            </w:r>
          </w:p>
          <w:p>
            <w:pPr>
              <w:widowControl/>
              <w:spacing w:line="240" w:lineRule="exact"/>
              <w:jc w:val="left"/>
              <w:rPr>
                <w:rFonts w:ascii="仿宋" w:hAnsi="仿宋" w:eastAsia="仿宋" w:cs="宋体"/>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财政部门对部门绩效管理工作开展情况进行核查评价，包括绩效目标管理、绩效执行监控、绩效自评和评价结果应用等情况，按百分制。</w:t>
            </w:r>
          </w:p>
          <w:p>
            <w:pPr>
              <w:widowControl/>
              <w:spacing w:line="68" w:lineRule="atLeast"/>
              <w:jc w:val="left"/>
              <w:rPr>
                <w:rFonts w:ascii="仿宋" w:hAnsi="仿宋" w:eastAsia="仿宋" w:cs="宋体"/>
                <w:kern w:val="0"/>
                <w:szCs w:val="21"/>
              </w:rPr>
            </w:pPr>
            <w:r>
              <w:rPr>
                <w:rFonts w:hint="eastAsia" w:ascii="仿宋" w:hAnsi="仿宋" w:eastAsia="仿宋" w:cs="宋体"/>
                <w:color w:val="000000"/>
                <w:kern w:val="0"/>
                <w:szCs w:val="21"/>
              </w:rPr>
              <w:t>2.</w:t>
            </w:r>
            <w:r>
              <w:rPr>
                <w:rFonts w:ascii="仿宋" w:hAnsi="仿宋" w:eastAsia="仿宋" w:cs="宋体"/>
                <w:color w:val="000000"/>
                <w:kern w:val="0"/>
                <w:szCs w:val="21"/>
              </w:rPr>
              <w:t>以部门为单位进行综合计算，得出各部门绩效管理工作评价结果。</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宋体"/>
                <w:color w:val="000000"/>
                <w:kern w:val="0"/>
                <w:szCs w:val="21"/>
              </w:rPr>
              <w:t>综合得分</w:t>
            </w:r>
            <w:r>
              <w:rPr>
                <w:rFonts w:hint="eastAsia" w:ascii="仿宋" w:hAnsi="仿宋" w:eastAsia="仿宋" w:cs="宋体"/>
                <w:color w:val="000000"/>
                <w:kern w:val="0"/>
                <w:szCs w:val="21"/>
              </w:rPr>
              <w:t>=</w:t>
            </w:r>
            <w:r>
              <w:rPr>
                <w:rFonts w:ascii="仿宋" w:hAnsi="仿宋" w:eastAsia="仿宋" w:cs="宋体"/>
                <w:color w:val="000000"/>
                <w:kern w:val="0"/>
                <w:szCs w:val="21"/>
              </w:rPr>
              <w:t>（部门绩效管理工作评价结果</w:t>
            </w:r>
            <w:r>
              <w:rPr>
                <w:rFonts w:hint="eastAsia" w:ascii="仿宋" w:hAnsi="仿宋" w:eastAsia="仿宋" w:cs="宋体"/>
                <w:color w:val="000000"/>
                <w:kern w:val="0"/>
                <w:szCs w:val="21"/>
              </w:rPr>
              <w:t>/100</w:t>
            </w:r>
            <w:r>
              <w:rPr>
                <w:rFonts w:ascii="仿宋" w:hAnsi="仿宋" w:eastAsia="仿宋" w:cs="宋体"/>
                <w:color w:val="000000"/>
                <w:kern w:val="0"/>
                <w:szCs w:val="21"/>
              </w:rPr>
              <w:t>）</w:t>
            </w:r>
            <w:r>
              <w:rPr>
                <w:rFonts w:hint="eastAsia" w:ascii="仿宋" w:hAnsi="仿宋" w:eastAsia="仿宋" w:cs="宋体"/>
                <w:color w:val="000000"/>
                <w:kern w:val="0"/>
                <w:szCs w:val="21"/>
              </w:rPr>
              <w:t>*5</w:t>
            </w:r>
            <w:r>
              <w:rPr>
                <w:rFonts w:ascii="仿宋" w:hAnsi="仿宋" w:eastAsia="仿宋" w:cs="宋体"/>
                <w:color w:val="000000"/>
                <w:kern w:val="0"/>
                <w:szCs w:val="21"/>
              </w:rPr>
              <w:t>分</w:t>
            </w:r>
          </w:p>
          <w:p>
            <w:pPr>
              <w:widowControl/>
              <w:spacing w:line="68" w:lineRule="atLeast"/>
              <w:jc w:val="left"/>
              <w:rPr>
                <w:rFonts w:ascii="仿宋" w:hAnsi="仿宋" w:eastAsia="仿宋" w:cs="宋体"/>
                <w:kern w:val="0"/>
                <w:szCs w:val="21"/>
              </w:rPr>
            </w:pPr>
            <w:r>
              <w:rPr>
                <w:rFonts w:hint="eastAsia" w:ascii="宋体" w:hAnsi="宋体" w:eastAsia="仿宋" w:cs="宋体"/>
                <w:kern w:val="0"/>
                <w:szCs w:val="21"/>
              </w:rPr>
              <w:t> </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r>
              <w:rPr>
                <w:rFonts w:hint="eastAsia" w:ascii="宋体" w:hAnsi="宋体" w:eastAsia="宋体" w:cs="宋体"/>
                <w:kern w:val="0"/>
                <w:sz w:val="20"/>
                <w:szCs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评价结果应用</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应用率（2分）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部门应用绩效评价结果的项目数占绩效评价项目数的比重，用以反映和考核部门绩效评价结果的利用水平和程度。</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应用率=应用绩效评价结果的项目数量/部门实施绩效评价项目数量×100%。</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目标值为100%；以2分为上限，采用完成比率法计分：得分=应用率×2，超出目标值不加分。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r>
              <w:rPr>
                <w:rFonts w:hint="eastAsia" w:ascii="宋体" w:hAnsi="宋体" w:eastAsia="宋体" w:cs="宋体"/>
                <w:kern w:val="0"/>
                <w:sz w:val="20"/>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结果应用创新（1分）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结果应用创新（1分）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部门将绩效结果主动对外公开、预算绩效管理工作开展情况向同级政府、人大等部门报告，用以反映和考核部门在结果应用方面的创新情况。</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评价要点：</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1.部门是否按要求对社会公开绩效评价结果。</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2.部门是否将预算绩效管理工作开展情况向同级政府、人大等部门报告。</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0.5分</w:t>
            </w:r>
            <w:r>
              <w:rPr>
                <w:rFonts w:ascii="仿宋" w:hAnsi="仿宋" w:eastAsia="仿宋" w:cs="Arial"/>
                <w:kern w:val="0"/>
                <w:szCs w:val="21"/>
              </w:rPr>
              <w:t>）</w:t>
            </w:r>
          </w:p>
          <w:p>
            <w:pPr>
              <w:widowControl/>
              <w:spacing w:line="240" w:lineRule="exact"/>
              <w:jc w:val="left"/>
              <w:rPr>
                <w:rFonts w:ascii="仿宋" w:hAnsi="仿宋" w:eastAsia="仿宋" w:cs="Arial"/>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r>
              <w:rPr>
                <w:rFonts w:hint="eastAsia" w:ascii="宋体" w:hAnsi="宋体" w:eastAsia="宋体" w:cs="宋体"/>
                <w:kern w:val="0"/>
                <w:sz w:val="20"/>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社会效益（</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社会公众满意度（</w:t>
            </w:r>
            <w:r>
              <w:rPr>
                <w:rFonts w:hint="eastAsia" w:ascii="仿宋" w:hAnsi="仿宋" w:eastAsia="仿宋" w:cs="Arial"/>
                <w:kern w:val="0"/>
                <w:szCs w:val="21"/>
              </w:rPr>
              <w:t>5分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通过问卷调查了解社会公众对部门履职效果、解决民众关心的热点问题、厉行节约等方面的满意程度，反映和评价部门支出所带来的社会效益。</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68" w:lineRule="atLeast"/>
              <w:jc w:val="left"/>
              <w:rPr>
                <w:rFonts w:ascii="仿宋" w:hAnsi="仿宋" w:eastAsia="仿宋" w:cs="宋体"/>
                <w:kern w:val="0"/>
                <w:szCs w:val="21"/>
              </w:rPr>
            </w:pPr>
            <w:r>
              <w:rPr>
                <w:rFonts w:ascii="仿宋" w:hAnsi="仿宋" w:eastAsia="仿宋" w:cs="Arial"/>
                <w:kern w:val="0"/>
                <w:szCs w:val="21"/>
              </w:rPr>
              <w:t>优秀（</w:t>
            </w:r>
            <w:r>
              <w:rPr>
                <w:rFonts w:hint="eastAsia" w:ascii="仿宋" w:hAnsi="仿宋" w:eastAsia="仿宋" w:cs="Arial"/>
                <w:kern w:val="0"/>
                <w:szCs w:val="21"/>
              </w:rPr>
              <w:t>5分</w:t>
            </w:r>
            <w:r>
              <w:rPr>
                <w:rFonts w:ascii="仿宋" w:hAnsi="仿宋" w:eastAsia="仿宋" w:cs="Arial"/>
                <w:kern w:val="0"/>
                <w:szCs w:val="21"/>
              </w:rPr>
              <w:t>）；良好（</w:t>
            </w:r>
            <w:r>
              <w:rPr>
                <w:rFonts w:hint="eastAsia" w:ascii="仿宋" w:hAnsi="仿宋" w:eastAsia="仿宋" w:cs="Arial"/>
                <w:kern w:val="0"/>
                <w:szCs w:val="21"/>
              </w:rPr>
              <w:t>3分</w:t>
            </w:r>
            <w:r>
              <w:rPr>
                <w:rFonts w:ascii="仿宋" w:hAnsi="仿宋" w:eastAsia="仿宋" w:cs="Arial"/>
                <w:kern w:val="0"/>
                <w:szCs w:val="21"/>
              </w:rPr>
              <w:t>）；合格（</w:t>
            </w:r>
            <w:r>
              <w:rPr>
                <w:rFonts w:hint="eastAsia" w:ascii="仿宋" w:hAnsi="仿宋" w:eastAsia="仿宋" w:cs="Arial"/>
                <w:kern w:val="0"/>
                <w:szCs w:val="21"/>
              </w:rPr>
              <w:t>1分</w:t>
            </w:r>
            <w:r>
              <w:rPr>
                <w:rFonts w:ascii="仿宋" w:hAnsi="仿宋" w:eastAsia="仿宋" w:cs="Arial"/>
                <w:kern w:val="0"/>
                <w:szCs w:val="21"/>
              </w:rPr>
              <w:t>）；不合格（</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r>
              <w:rPr>
                <w:rFonts w:hint="eastAsia" w:ascii="宋体" w:hAnsi="宋体" w:eastAsia="宋体" w:cs="宋体"/>
                <w:kern w:val="0"/>
                <w:sz w:val="20"/>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769" w:type="dxa"/>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小计</w:t>
            </w: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69"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评价结果</w:t>
            </w: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97.5</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6435" w:type="dxa"/>
            <w:gridSpan w:val="2"/>
            <w:tcBorders>
              <w:top w:val="single" w:color="000000" w:sz="4" w:space="0"/>
              <w:left w:val="single" w:color="auto" w:sz="4" w:space="0"/>
              <w:bottom w:val="single" w:color="000000" w:sz="4" w:space="0"/>
              <w:right w:val="single" w:color="auto" w:sz="4" w:space="0"/>
            </w:tcBorders>
            <w:vAlign w:val="center"/>
          </w:tcPr>
          <w:p>
            <w:pPr>
              <w:widowControl/>
              <w:spacing w:line="68" w:lineRule="atLeast"/>
              <w:ind w:firstLine="105" w:firstLineChars="50"/>
              <w:jc w:val="left"/>
              <w:rPr>
                <w:rFonts w:ascii="仿宋" w:hAnsi="仿宋" w:eastAsia="仿宋" w:cs="Arial"/>
                <w:kern w:val="0"/>
                <w:szCs w:val="21"/>
              </w:rPr>
            </w:pPr>
            <w:r>
              <w:rPr>
                <w:rFonts w:hint="eastAsia" w:ascii="仿宋" w:hAnsi="仿宋" w:eastAsia="仿宋" w:cs="Arial"/>
                <w:kern w:val="0"/>
                <w:szCs w:val="21"/>
              </w:rPr>
              <w:t>□优秀</w:t>
            </w:r>
            <w:r>
              <w:rPr>
                <w:rFonts w:ascii="仿宋" w:hAnsi="仿宋" w:eastAsia="仿宋" w:cs="Arial"/>
                <w:kern w:val="0"/>
                <w:szCs w:val="21"/>
              </w:rPr>
              <w:t xml:space="preserve">  90分≤得分≤100分； □良好  80分≤得分≤89分；</w:t>
            </w:r>
          </w:p>
          <w:p>
            <w:pPr>
              <w:widowControl/>
              <w:spacing w:line="68" w:lineRule="atLeast"/>
              <w:jc w:val="left"/>
              <w:rPr>
                <w:rFonts w:ascii="仿宋" w:hAnsi="仿宋" w:eastAsia="仿宋" w:cs="Arial"/>
                <w:kern w:val="0"/>
                <w:szCs w:val="21"/>
              </w:rPr>
            </w:pPr>
            <w:r>
              <w:rPr>
                <w:rFonts w:ascii="仿宋" w:hAnsi="仿宋" w:eastAsia="仿宋" w:cs="Arial"/>
                <w:kern w:val="0"/>
                <w:szCs w:val="21"/>
              </w:rPr>
              <w:t xml:space="preserve">  □中  60分≤得分≤79分；  □较差  0≤得分≤59分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p>
        </w:tc>
      </w:tr>
    </w:tbl>
    <w:p>
      <w:pPr>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r>
        <w:rPr>
          <w:rFonts w:hint="eastAsia" w:ascii="仿宋" w:hAnsi="仿宋" w:eastAsia="仿宋"/>
          <w:b/>
          <w:sz w:val="24"/>
          <w:szCs w:val="24"/>
        </w:rPr>
        <w:t>附件3</w:t>
      </w:r>
    </w:p>
    <w:tbl>
      <w:tblPr>
        <w:tblStyle w:val="5"/>
        <w:tblW w:w="9924" w:type="dxa"/>
        <w:tblInd w:w="-459" w:type="dxa"/>
        <w:tblLayout w:type="fixed"/>
        <w:tblCellMar>
          <w:top w:w="0" w:type="dxa"/>
          <w:left w:w="108" w:type="dxa"/>
          <w:bottom w:w="0" w:type="dxa"/>
          <w:right w:w="108" w:type="dxa"/>
        </w:tblCellMar>
      </w:tblPr>
      <w:tblGrid>
        <w:gridCol w:w="1418"/>
        <w:gridCol w:w="1134"/>
        <w:gridCol w:w="283"/>
        <w:gridCol w:w="284"/>
        <w:gridCol w:w="567"/>
        <w:gridCol w:w="567"/>
        <w:gridCol w:w="850"/>
        <w:gridCol w:w="1276"/>
        <w:gridCol w:w="851"/>
        <w:gridCol w:w="172"/>
        <w:gridCol w:w="962"/>
        <w:gridCol w:w="15"/>
        <w:gridCol w:w="1545"/>
      </w:tblGrid>
      <w:tr>
        <w:tblPrEx>
          <w:tblCellMar>
            <w:top w:w="0" w:type="dxa"/>
            <w:left w:w="108" w:type="dxa"/>
            <w:bottom w:w="0" w:type="dxa"/>
            <w:right w:w="108" w:type="dxa"/>
          </w:tblCellMar>
        </w:tblPrEx>
        <w:trPr>
          <w:gridAfter w:val="2"/>
          <w:wAfter w:w="1560" w:type="dxa"/>
          <w:trHeight w:val="214" w:hRule="atLeast"/>
        </w:trPr>
        <w:tc>
          <w:tcPr>
            <w:tcW w:w="8364" w:type="dxa"/>
            <w:gridSpan w:val="11"/>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部门整体支出绩效自评表</w:t>
            </w:r>
          </w:p>
        </w:tc>
      </w:tr>
      <w:tr>
        <w:tblPrEx>
          <w:tblCellMar>
            <w:top w:w="0" w:type="dxa"/>
            <w:left w:w="108" w:type="dxa"/>
            <w:bottom w:w="0" w:type="dxa"/>
            <w:right w:w="108" w:type="dxa"/>
          </w:tblCellMar>
        </w:tblPrEx>
        <w:trPr>
          <w:gridAfter w:val="2"/>
          <w:wAfter w:w="1560" w:type="dxa"/>
          <w:trHeight w:val="267" w:hRule="atLeast"/>
        </w:trPr>
        <w:tc>
          <w:tcPr>
            <w:tcW w:w="8364" w:type="dxa"/>
            <w:gridSpan w:val="11"/>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（2021 年度）</w:t>
            </w:r>
          </w:p>
        </w:tc>
      </w:tr>
      <w:tr>
        <w:tblPrEx>
          <w:tblCellMar>
            <w:top w:w="0" w:type="dxa"/>
            <w:left w:w="108" w:type="dxa"/>
            <w:bottom w:w="0" w:type="dxa"/>
            <w:right w:w="108" w:type="dxa"/>
          </w:tblCellMar>
        </w:tblPrEx>
        <w:trPr>
          <w:trHeight w:val="61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项目支出名称</w:t>
            </w:r>
          </w:p>
        </w:tc>
        <w:tc>
          <w:tcPr>
            <w:tcW w:w="8506"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2020年度部门整体支出</w:t>
            </w:r>
          </w:p>
        </w:tc>
      </w:tr>
      <w:tr>
        <w:tblPrEx>
          <w:tblCellMar>
            <w:top w:w="0" w:type="dxa"/>
            <w:left w:w="108" w:type="dxa"/>
            <w:bottom w:w="0" w:type="dxa"/>
            <w:right w:w="108" w:type="dxa"/>
          </w:tblCellMar>
        </w:tblPrEx>
        <w:trPr>
          <w:trHeight w:val="415"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368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3545"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pPr>
          </w:p>
        </w:tc>
      </w:tr>
      <w:tr>
        <w:tblPrEx>
          <w:tblCellMar>
            <w:top w:w="0" w:type="dxa"/>
            <w:left w:w="108" w:type="dxa"/>
            <w:bottom w:w="0" w:type="dxa"/>
            <w:right w:w="108" w:type="dxa"/>
          </w:tblCellMar>
        </w:tblPrEx>
        <w:trPr>
          <w:trHeight w:val="936" w:hRule="atLeast"/>
        </w:trPr>
        <w:tc>
          <w:tcPr>
            <w:tcW w:w="1418" w:type="dxa"/>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项目资金（万元）</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年初预算数</w:t>
            </w:r>
          </w:p>
        </w:tc>
        <w:tc>
          <w:tcPr>
            <w:tcW w:w="141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全年执行数</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分值</w:t>
            </w:r>
          </w:p>
        </w:tc>
        <w:tc>
          <w:tcPr>
            <w:tcW w:w="113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执行率</w:t>
            </w:r>
          </w:p>
        </w:tc>
        <w:tc>
          <w:tcPr>
            <w:tcW w:w="15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得分</w:t>
            </w:r>
          </w:p>
        </w:tc>
      </w:tr>
      <w:tr>
        <w:tblPrEx>
          <w:tblCellMar>
            <w:top w:w="0" w:type="dxa"/>
            <w:left w:w="108" w:type="dxa"/>
            <w:bottom w:w="0" w:type="dxa"/>
            <w:right w:w="108" w:type="dxa"/>
          </w:tblCellMar>
        </w:tblPrEx>
        <w:trPr>
          <w:trHeight w:val="168"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年度资金总额　</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532.29</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1032.66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1032.66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194%</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w:t>
            </w:r>
          </w:p>
        </w:tc>
      </w:tr>
      <w:tr>
        <w:tblPrEx>
          <w:tblCellMar>
            <w:top w:w="0" w:type="dxa"/>
            <w:left w:w="108" w:type="dxa"/>
            <w:bottom w:w="0" w:type="dxa"/>
            <w:right w:w="108" w:type="dxa"/>
          </w:tblCellMar>
        </w:tblPrEx>
        <w:trPr>
          <w:trHeight w:val="168"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其中：当年财政拨款　</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532.29</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1032.66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1032.66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194%</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p>
        </w:tc>
      </w:tr>
      <w:tr>
        <w:tblPrEx>
          <w:tblCellMar>
            <w:top w:w="0" w:type="dxa"/>
            <w:left w:w="108" w:type="dxa"/>
            <w:bottom w:w="0" w:type="dxa"/>
            <w:right w:w="108" w:type="dxa"/>
          </w:tblCellMar>
        </w:tblPrEx>
        <w:trPr>
          <w:trHeight w:val="168"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上年结转资金　</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p>
        </w:tc>
      </w:tr>
      <w:tr>
        <w:tblPrEx>
          <w:tblCellMar>
            <w:top w:w="0" w:type="dxa"/>
            <w:left w:w="108" w:type="dxa"/>
            <w:bottom w:w="0" w:type="dxa"/>
            <w:right w:w="108" w:type="dxa"/>
          </w:tblCellMar>
        </w:tblPrEx>
        <w:trPr>
          <w:trHeight w:val="168"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其他资金</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61" w:hRule="atLeast"/>
        </w:trPr>
        <w:tc>
          <w:tcPr>
            <w:tcW w:w="1418"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年度总体目标</w:t>
            </w:r>
          </w:p>
        </w:tc>
        <w:tc>
          <w:tcPr>
            <w:tcW w:w="3685"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rPr>
                <w:rFonts w:ascii="宋体" w:hAnsi="宋体" w:eastAsia="宋体" w:cs="宋体"/>
                <w:color w:val="000000"/>
                <w:kern w:val="0"/>
                <w:sz w:val="20"/>
                <w:szCs w:val="20"/>
              </w:rPr>
            </w:pPr>
            <w:r>
              <w:rPr>
                <w:rFonts w:hint="eastAsia" w:ascii="宋体" w:hAnsi="宋体" w:eastAsia="宋体" w:cs="宋体"/>
                <w:color w:val="000000"/>
                <w:kern w:val="0"/>
                <w:sz w:val="20"/>
                <w:szCs w:val="20"/>
              </w:rPr>
              <w:t>预期目标：贯彻执行规划建设，基础设施建设，稳定和完善农村基本经营管理，全面实施乡政府各项决策部署，确保各项工作目标任务圆满完成。</w:t>
            </w:r>
          </w:p>
          <w:p>
            <w:pPr>
              <w:widowControl/>
              <w:shd w:val="clear" w:color="auto" w:fill="FFFFFF"/>
              <w:rPr>
                <w:rFonts w:ascii="宋体" w:hAnsi="宋体" w:eastAsia="宋体" w:cs="宋体"/>
                <w:color w:val="000000"/>
                <w:kern w:val="0"/>
                <w:sz w:val="20"/>
                <w:szCs w:val="20"/>
              </w:rPr>
            </w:pPr>
            <w:r>
              <w:rPr>
                <w:rFonts w:hint="eastAsia" w:ascii="宋体" w:hAnsi="宋体" w:eastAsia="宋体" w:cs="宋体"/>
                <w:color w:val="000000"/>
                <w:kern w:val="0"/>
                <w:sz w:val="20"/>
                <w:szCs w:val="20"/>
              </w:rPr>
              <w:t>目标2：计划完成三公经费支出预算金额的100%</w:t>
            </w:r>
            <w:r>
              <w:rPr>
                <w:rFonts w:ascii="宋体" w:hAnsi="宋体" w:eastAsia="宋体" w:cs="宋体"/>
                <w:color w:val="000000"/>
                <w:kern w:val="0"/>
                <w:sz w:val="20"/>
                <w:szCs w:val="20"/>
              </w:rPr>
              <w:t> </w:t>
            </w:r>
          </w:p>
          <w:p>
            <w:pPr>
              <w:widowControl/>
              <w:shd w:val="clear" w:color="auto" w:fill="FFFFFF"/>
              <w:rPr>
                <w:rFonts w:ascii="宋体" w:hAnsi="宋体" w:eastAsia="宋体" w:cs="宋体"/>
                <w:color w:val="000000"/>
                <w:kern w:val="0"/>
                <w:sz w:val="20"/>
                <w:szCs w:val="20"/>
              </w:rPr>
            </w:pPr>
            <w:r>
              <w:rPr>
                <w:rFonts w:hint="eastAsia" w:ascii="宋体" w:hAnsi="宋体" w:eastAsia="宋体" w:cs="宋体"/>
                <w:color w:val="000000"/>
                <w:kern w:val="0"/>
                <w:sz w:val="20"/>
                <w:szCs w:val="20"/>
              </w:rPr>
              <w:t>目标3：严格把控财政资金的用途</w:t>
            </w:r>
            <w:r>
              <w:rPr>
                <w:rFonts w:ascii="宋体" w:hAnsi="宋体" w:eastAsia="宋体" w:cs="宋体"/>
                <w:color w:val="000000"/>
                <w:kern w:val="0"/>
                <w:sz w:val="20"/>
                <w:szCs w:val="20"/>
              </w:rPr>
              <w:t>  </w:t>
            </w:r>
          </w:p>
          <w:p>
            <w:pPr>
              <w:widowControl/>
              <w:shd w:val="clear" w:color="auto" w:fill="FFFFFF"/>
              <w:rPr>
                <w:rFonts w:ascii="宋体" w:hAnsi="宋体" w:eastAsia="宋体" w:cs="宋体"/>
                <w:color w:val="000000"/>
                <w:kern w:val="0"/>
                <w:sz w:val="20"/>
                <w:szCs w:val="20"/>
              </w:rPr>
            </w:pPr>
            <w:r>
              <w:rPr>
                <w:rFonts w:ascii="宋体" w:hAnsi="宋体" w:eastAsia="宋体" w:cs="宋体"/>
                <w:color w:val="000000"/>
                <w:kern w:val="0"/>
                <w:sz w:val="20"/>
                <w:szCs w:val="20"/>
              </w:rPr>
              <w:t xml:space="preserve">  </w:t>
            </w:r>
          </w:p>
        </w:tc>
        <w:tc>
          <w:tcPr>
            <w:tcW w:w="3261" w:type="dxa"/>
            <w:gridSpan w:val="4"/>
            <w:vMerge w:val="restart"/>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实际完成情况：</w:t>
            </w:r>
            <w:r>
              <w:rPr>
                <w:rFonts w:ascii="宋体" w:hAnsi="宋体" w:eastAsia="宋体" w:cs="宋体"/>
                <w:color w:val="000000"/>
                <w:kern w:val="0"/>
                <w:sz w:val="20"/>
                <w:szCs w:val="20"/>
              </w:rPr>
              <w:t>1</w:t>
            </w:r>
            <w:r>
              <w:rPr>
                <w:rFonts w:hint="eastAsia" w:ascii="宋体" w:hAnsi="宋体" w:eastAsia="宋体" w:cs="宋体"/>
                <w:color w:val="000000"/>
                <w:kern w:val="0"/>
                <w:sz w:val="20"/>
                <w:szCs w:val="20"/>
              </w:rPr>
              <w:t>、实现了乡政府正常运转，各职能部门正常履职，对负责的社会事务加强管理，确保了各项决策部署全面落实，以实现全乡和谐发展、社会稳定。</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2、按计划完成三公经费支出预算达100%。</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3、按照财政资金使用用途和目的，健全了资金管理制度，认真执行年初预算资金计划，账务核算及时规范。</w:t>
            </w:r>
          </w:p>
        </w:tc>
        <w:tc>
          <w:tcPr>
            <w:tcW w:w="1560" w:type="dxa"/>
            <w:gridSpan w:val="2"/>
            <w:tcBorders>
              <w:right w:val="single" w:color="auto" w:sz="4" w:space="0"/>
            </w:tcBorders>
            <w:shd w:val="clear" w:color="auto" w:fill="auto"/>
          </w:tcPr>
          <w:p>
            <w:pPr>
              <w:widowControl/>
              <w:jc w:val="left"/>
            </w:pPr>
          </w:p>
        </w:tc>
      </w:tr>
      <w:tr>
        <w:tblPrEx>
          <w:tblCellMar>
            <w:top w:w="0" w:type="dxa"/>
            <w:left w:w="108" w:type="dxa"/>
            <w:bottom w:w="0" w:type="dxa"/>
            <w:right w:w="108" w:type="dxa"/>
          </w:tblCellMar>
        </w:tblPrEx>
        <w:trPr>
          <w:trHeight w:val="518" w:hRule="atLeast"/>
        </w:trPr>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3685"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261" w:type="dxa"/>
            <w:gridSpan w:val="4"/>
            <w:vMerge w:val="continue"/>
            <w:tcBorders>
              <w:top w:val="nil"/>
              <w:left w:val="single" w:color="auto" w:sz="4" w:space="0"/>
              <w:bottom w:val="single" w:color="auto" w:sz="4" w:space="0"/>
            </w:tcBorders>
            <w:vAlign w:val="center"/>
          </w:tcPr>
          <w:p>
            <w:pPr>
              <w:widowControl/>
              <w:jc w:val="left"/>
              <w:rPr>
                <w:rFonts w:ascii="宋体" w:hAnsi="宋体" w:eastAsia="宋体" w:cs="宋体"/>
                <w:color w:val="000000"/>
                <w:kern w:val="0"/>
                <w:sz w:val="20"/>
                <w:szCs w:val="20"/>
              </w:rPr>
            </w:pPr>
          </w:p>
        </w:tc>
        <w:tc>
          <w:tcPr>
            <w:tcW w:w="1560" w:type="dxa"/>
            <w:gridSpan w:val="2"/>
            <w:tcBorders>
              <w:right w:val="single" w:color="auto" w:sz="4" w:space="0"/>
            </w:tcBorders>
            <w:shd w:val="clear" w:color="auto" w:fill="auto"/>
          </w:tcPr>
          <w:p>
            <w:pPr>
              <w:widowControl/>
              <w:jc w:val="left"/>
            </w:pPr>
          </w:p>
        </w:tc>
      </w:tr>
      <w:tr>
        <w:tblPrEx>
          <w:tblCellMar>
            <w:top w:w="0" w:type="dxa"/>
            <w:left w:w="108" w:type="dxa"/>
            <w:bottom w:w="0" w:type="dxa"/>
            <w:right w:w="108" w:type="dxa"/>
          </w:tblCellMar>
        </w:tblPrEx>
        <w:trPr>
          <w:trHeight w:val="168" w:hRule="atLeast"/>
        </w:trPr>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绩效指标</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一级指标</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w:t>
            </w:r>
          </w:p>
        </w:tc>
        <w:tc>
          <w:tcPr>
            <w:tcW w:w="102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97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偏差原因分析及改进措施</w:t>
            </w:r>
          </w:p>
        </w:tc>
      </w:tr>
      <w:tr>
        <w:tblPrEx>
          <w:tblCellMar>
            <w:top w:w="0" w:type="dxa"/>
            <w:left w:w="108" w:type="dxa"/>
            <w:bottom w:w="0" w:type="dxa"/>
            <w:right w:w="108" w:type="dxa"/>
          </w:tblCellMar>
        </w:tblPrEx>
        <w:trPr>
          <w:trHeight w:val="312"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完成值</w:t>
            </w:r>
          </w:p>
        </w:tc>
        <w:tc>
          <w:tcPr>
            <w:tcW w:w="10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7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12"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0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7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52"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产出指标</w:t>
            </w:r>
          </w:p>
        </w:tc>
        <w:tc>
          <w:tcPr>
            <w:tcW w:w="567" w:type="dxa"/>
            <w:gridSpan w:val="2"/>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职责履行</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100%</w:t>
            </w:r>
          </w:p>
        </w:tc>
        <w:tc>
          <w:tcPr>
            <w:tcW w:w="10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kern w:val="0"/>
                <w:sz w:val="20"/>
                <w:szCs w:val="20"/>
              </w:rPr>
              <w:t>15</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77"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100%</w:t>
            </w:r>
          </w:p>
        </w:tc>
        <w:tc>
          <w:tcPr>
            <w:tcW w:w="10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kern w:val="0"/>
                <w:sz w:val="20"/>
                <w:szCs w:val="20"/>
              </w:rPr>
              <w:t>15</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83"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100%</w:t>
            </w:r>
          </w:p>
        </w:tc>
        <w:tc>
          <w:tcPr>
            <w:tcW w:w="10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kern w:val="0"/>
                <w:sz w:val="20"/>
                <w:szCs w:val="20"/>
              </w:rPr>
              <w:t>15</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21"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15"/>
                <w:szCs w:val="15"/>
              </w:rPr>
            </w:pPr>
            <w:r>
              <w:rPr>
                <w:rFonts w:hint="eastAsia" w:ascii="宋体" w:hAnsi="宋体" w:eastAsia="宋体" w:cs="宋体"/>
                <w:color w:val="000000" w:themeColor="text1"/>
                <w:kern w:val="0"/>
                <w:sz w:val="20"/>
                <w:szCs w:val="20"/>
              </w:rPr>
              <w:t>100%</w:t>
            </w:r>
          </w:p>
        </w:tc>
        <w:tc>
          <w:tcPr>
            <w:tcW w:w="10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kern w:val="0"/>
                <w:sz w:val="20"/>
                <w:szCs w:val="20"/>
              </w:rPr>
              <w:t>13</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83"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效益指标</w:t>
            </w:r>
          </w:p>
        </w:tc>
        <w:tc>
          <w:tcPr>
            <w:tcW w:w="5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履职效益</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经济效益</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98%</w:t>
            </w:r>
          </w:p>
        </w:tc>
        <w:tc>
          <w:tcPr>
            <w:tcW w:w="10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kern w:val="0"/>
                <w:sz w:val="20"/>
                <w:szCs w:val="20"/>
              </w:rPr>
              <w:t>9.8</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社会效益</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15"/>
                <w:szCs w:val="15"/>
              </w:rPr>
            </w:pPr>
            <w:r>
              <w:rPr>
                <w:rFonts w:hint="eastAsia" w:ascii="宋体" w:hAnsi="宋体" w:eastAsia="宋体" w:cs="宋体"/>
                <w:color w:val="000000" w:themeColor="text1"/>
                <w:kern w:val="0"/>
                <w:sz w:val="20"/>
                <w:szCs w:val="20"/>
              </w:rPr>
              <w:t>100%</w:t>
            </w:r>
          </w:p>
        </w:tc>
        <w:tc>
          <w:tcPr>
            <w:tcW w:w="10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kern w:val="0"/>
                <w:sz w:val="20"/>
                <w:szCs w:val="20"/>
              </w:rPr>
              <w:t>10</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87"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生态效益</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15"/>
                <w:szCs w:val="15"/>
              </w:rPr>
            </w:pPr>
            <w:r>
              <w:rPr>
                <w:rFonts w:hint="eastAsia" w:ascii="宋体" w:hAnsi="宋体" w:eastAsia="宋体" w:cs="宋体"/>
                <w:color w:val="000000" w:themeColor="text1"/>
                <w:kern w:val="0"/>
                <w:sz w:val="20"/>
                <w:szCs w:val="20"/>
              </w:rPr>
              <w:t>100%</w:t>
            </w:r>
          </w:p>
        </w:tc>
        <w:tc>
          <w:tcPr>
            <w:tcW w:w="10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kern w:val="0"/>
                <w:sz w:val="20"/>
                <w:szCs w:val="20"/>
              </w:rPr>
              <w:t>5</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37"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可持续影响指标</w:t>
            </w:r>
          </w:p>
        </w:tc>
        <w:tc>
          <w:tcPr>
            <w:tcW w:w="850" w:type="dxa"/>
            <w:tcBorders>
              <w:top w:val="nil"/>
              <w:left w:val="nil"/>
              <w:bottom w:val="single" w:color="auto" w:sz="4" w:space="0"/>
              <w:right w:val="single" w:color="auto" w:sz="4" w:space="0"/>
            </w:tcBorders>
            <w:shd w:val="clear" w:color="auto" w:fill="auto"/>
            <w:vAlign w:val="center"/>
          </w:tcPr>
          <w:p>
            <w:pPr>
              <w:widowControl/>
              <w:ind w:firstLine="100" w:firstLineChars="50"/>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100%</w:t>
            </w:r>
          </w:p>
        </w:tc>
        <w:tc>
          <w:tcPr>
            <w:tcW w:w="1276" w:type="dxa"/>
            <w:tcBorders>
              <w:top w:val="nil"/>
              <w:left w:val="nil"/>
              <w:bottom w:val="single" w:color="auto" w:sz="4" w:space="0"/>
              <w:right w:val="single" w:color="auto" w:sz="4" w:space="0"/>
            </w:tcBorders>
            <w:shd w:val="clear" w:color="auto" w:fill="auto"/>
            <w:vAlign w:val="center"/>
          </w:tcPr>
          <w:p>
            <w:pPr>
              <w:widowControl/>
              <w:ind w:firstLine="300" w:firstLineChars="150"/>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100%</w:t>
            </w:r>
          </w:p>
        </w:tc>
        <w:tc>
          <w:tcPr>
            <w:tcW w:w="10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kern w:val="0"/>
                <w:sz w:val="20"/>
                <w:szCs w:val="20"/>
              </w:rPr>
              <w:t>5</w:t>
            </w:r>
          </w:p>
        </w:tc>
        <w:tc>
          <w:tcPr>
            <w:tcW w:w="1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84"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567"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结果效益</w:t>
            </w:r>
          </w:p>
        </w:tc>
        <w:tc>
          <w:tcPr>
            <w:tcW w:w="113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服务对象满意度指标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themeColor="text1"/>
                <w:kern w:val="0"/>
                <w:sz w:val="20"/>
                <w:szCs w:val="20"/>
              </w:rPr>
              <w:t>98%</w:t>
            </w:r>
          </w:p>
        </w:tc>
        <w:tc>
          <w:tcPr>
            <w:tcW w:w="10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kern w:val="0"/>
                <w:sz w:val="20"/>
                <w:szCs w:val="20"/>
              </w:rPr>
              <w:t>11.76</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2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kern w:val="0"/>
                <w:sz w:val="20"/>
                <w:szCs w:val="20"/>
              </w:rPr>
              <w:t>99.56</w:t>
            </w:r>
          </w:p>
        </w:tc>
        <w:tc>
          <w:tcPr>
            <w:tcW w:w="1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2"/>
          <w:wAfter w:w="1560" w:type="dxa"/>
          <w:trHeight w:val="337" w:hRule="atLeast"/>
        </w:trPr>
        <w:tc>
          <w:tcPr>
            <w:tcW w:w="8364"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填表人：     填表日期：  年  月  日     联系电话：           单位负责人签字：  </w:t>
            </w:r>
          </w:p>
        </w:tc>
      </w:tr>
    </w:tbl>
    <w:p>
      <w:pPr>
        <w:widowControl/>
        <w:spacing w:line="578" w:lineRule="exact"/>
        <w:jc w:val="left"/>
        <w:rPr>
          <w:rFonts w:ascii="宋体" w:hAnsi="宋体" w:eastAsia="宋体" w:cs="宋体"/>
          <w:b/>
          <w:kern w:val="0"/>
          <w:sz w:val="32"/>
          <w:szCs w:val="32"/>
        </w:rPr>
      </w:pPr>
    </w:p>
    <w:p>
      <w:pPr>
        <w:widowControl/>
        <w:spacing w:line="578" w:lineRule="exact"/>
        <w:jc w:val="left"/>
        <w:rPr>
          <w:rFonts w:ascii="宋体" w:hAnsi="宋体" w:eastAsia="宋体" w:cs="宋体"/>
          <w:b/>
          <w:kern w:val="0"/>
          <w:sz w:val="32"/>
          <w:szCs w:val="32"/>
        </w:rPr>
      </w:pPr>
    </w:p>
    <w:p>
      <w:pPr>
        <w:rPr>
          <w:rFonts w:ascii="仿宋" w:hAnsi="仿宋" w:eastAsia="仿宋"/>
          <w:sz w:val="32"/>
          <w:szCs w:val="32"/>
        </w:rPr>
      </w:pPr>
    </w:p>
    <w:sectPr>
      <w:footerReference r:id="rId3" w:type="default"/>
      <w:pgSz w:w="11906" w:h="16838"/>
      <w:pgMar w:top="1588" w:right="175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134681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FB848"/>
    <w:multiLevelType w:val="singleLevel"/>
    <w:tmpl w:val="8CAFB848"/>
    <w:lvl w:ilvl="0" w:tentative="0">
      <w:start w:val="5"/>
      <w:numFmt w:val="chineseCounting"/>
      <w:suff w:val="nothing"/>
      <w:lvlText w:val="%1、"/>
      <w:lvlJc w:val="left"/>
      <w:rPr>
        <w:rFonts w:hint="eastAsia"/>
      </w:rPr>
    </w:lvl>
  </w:abstractNum>
  <w:abstractNum w:abstractNumId="1">
    <w:nsid w:val="FCFDA7C6"/>
    <w:multiLevelType w:val="singleLevel"/>
    <w:tmpl w:val="FCFDA7C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9D"/>
    <w:rsid w:val="000337D0"/>
    <w:rsid w:val="000433CF"/>
    <w:rsid w:val="0007172C"/>
    <w:rsid w:val="000844E8"/>
    <w:rsid w:val="00085B9C"/>
    <w:rsid w:val="000B1DF1"/>
    <w:rsid w:val="000C5EDD"/>
    <w:rsid w:val="0016596E"/>
    <w:rsid w:val="00176F60"/>
    <w:rsid w:val="001D0151"/>
    <w:rsid w:val="001E263F"/>
    <w:rsid w:val="002002D8"/>
    <w:rsid w:val="00212340"/>
    <w:rsid w:val="0021390C"/>
    <w:rsid w:val="00284883"/>
    <w:rsid w:val="002D08D8"/>
    <w:rsid w:val="002D330E"/>
    <w:rsid w:val="00314D48"/>
    <w:rsid w:val="003E00BC"/>
    <w:rsid w:val="003E2CBE"/>
    <w:rsid w:val="00452388"/>
    <w:rsid w:val="004D2211"/>
    <w:rsid w:val="0053241D"/>
    <w:rsid w:val="00537849"/>
    <w:rsid w:val="00596930"/>
    <w:rsid w:val="005D6D51"/>
    <w:rsid w:val="0062194C"/>
    <w:rsid w:val="006411BD"/>
    <w:rsid w:val="00671EB3"/>
    <w:rsid w:val="00674626"/>
    <w:rsid w:val="0069146C"/>
    <w:rsid w:val="006F14C4"/>
    <w:rsid w:val="00722AC9"/>
    <w:rsid w:val="00777B2F"/>
    <w:rsid w:val="00794253"/>
    <w:rsid w:val="007A4D88"/>
    <w:rsid w:val="007B2AF3"/>
    <w:rsid w:val="007D0828"/>
    <w:rsid w:val="007E27DF"/>
    <w:rsid w:val="0084360E"/>
    <w:rsid w:val="00924E74"/>
    <w:rsid w:val="00966A9D"/>
    <w:rsid w:val="009A053C"/>
    <w:rsid w:val="00A215BD"/>
    <w:rsid w:val="00A27123"/>
    <w:rsid w:val="00AA52F4"/>
    <w:rsid w:val="00AC55A0"/>
    <w:rsid w:val="00B3300E"/>
    <w:rsid w:val="00BB29CE"/>
    <w:rsid w:val="00BB4E12"/>
    <w:rsid w:val="00C155EA"/>
    <w:rsid w:val="00CB0A9F"/>
    <w:rsid w:val="00D146F9"/>
    <w:rsid w:val="00D57C3B"/>
    <w:rsid w:val="00D95243"/>
    <w:rsid w:val="00DB1392"/>
    <w:rsid w:val="00DD1457"/>
    <w:rsid w:val="00DD3BB6"/>
    <w:rsid w:val="00E27331"/>
    <w:rsid w:val="00ED46AD"/>
    <w:rsid w:val="00EF48B3"/>
    <w:rsid w:val="00F1062F"/>
    <w:rsid w:val="00F313DB"/>
    <w:rsid w:val="00F66815"/>
    <w:rsid w:val="00F679F8"/>
    <w:rsid w:val="00F81B5C"/>
    <w:rsid w:val="00FB5042"/>
    <w:rsid w:val="3B090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CA3965-828C-4418-9CEB-4B37C248BEE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8266</Words>
  <Characters>8807</Characters>
  <Lines>69</Lines>
  <Paragraphs>19</Paragraphs>
  <TotalTime>2</TotalTime>
  <ScaleCrop>false</ScaleCrop>
  <LinksUpToDate>false</LinksUpToDate>
  <CharactersWithSpaces>8923</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2022-04-13T05:09:00Z</dcterms:created>
  <dc:creator>Administrator</dc:creator>
  <cp:lastModifiedBy>西瓜。</cp:lastModifiedBy>
  <cp:lastPrinted>2022-04-13T04:53:00Z</cp:lastPrinted>
  <dcterms:modified xsi:type="dcterms:W3CDTF">2022-08-06T03:21:07Z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00FD62AA989B4F25ABD4671EF734DB1C</vt:lpwstr>
  </property>
</Properties>
</file>