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仿宋_GB2312"/>
          <w:sz w:val="32"/>
          <w:szCs w:val="32"/>
        </w:rPr>
      </w:pPr>
      <w:r>
        <w:rPr>
          <w:rFonts w:hint="eastAsia" w:eastAsia="黑体"/>
          <w:sz w:val="32"/>
          <w:szCs w:val="32"/>
        </w:rPr>
        <w:t>附件</w:t>
      </w:r>
      <w:r>
        <w:rPr>
          <w:rFonts w:eastAsia="黑体"/>
          <w:sz w:val="32"/>
          <w:szCs w:val="32"/>
        </w:rPr>
        <w:t>1</w:t>
      </w:r>
    </w:p>
    <w:p>
      <w:pPr>
        <w:spacing w:beforeLines="50" w:afterLines="50"/>
        <w:jc w:val="center"/>
        <w:rPr>
          <w:rFonts w:eastAsia="方正小标宋_GBK"/>
          <w:bCs/>
          <w:sz w:val="36"/>
          <w:szCs w:val="36"/>
        </w:rPr>
      </w:pPr>
      <w:r>
        <w:rPr>
          <w:rFonts w:hint="eastAsia" w:eastAsia="方正小标宋_GBK"/>
          <w:bCs/>
          <w:sz w:val="36"/>
          <w:szCs w:val="36"/>
        </w:rPr>
        <w:t>部门整体支出绩效评价共性指标框架</w:t>
      </w:r>
    </w:p>
    <w:tbl>
      <w:tblPr>
        <w:tblStyle w:val="5"/>
        <w:tblW w:w="10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866"/>
        <w:gridCol w:w="951"/>
        <w:gridCol w:w="2908"/>
        <w:gridCol w:w="4252"/>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Header/>
          <w:jc w:val="center"/>
        </w:trPr>
        <w:tc>
          <w:tcPr>
            <w:tcW w:w="666"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一级</w:t>
            </w:r>
            <w:r>
              <w:rPr>
                <w:rFonts w:ascii="仿宋_GB2312" w:eastAsia="仿宋_GB2312"/>
                <w:b/>
                <w:bCs/>
                <w:szCs w:val="21"/>
              </w:rPr>
              <w:br w:type="textWrapping"/>
            </w:r>
            <w:r>
              <w:rPr>
                <w:rFonts w:hint="eastAsia" w:ascii="仿宋_GB2312" w:eastAsia="仿宋_GB2312"/>
                <w:b/>
                <w:bCs/>
                <w:szCs w:val="21"/>
              </w:rPr>
              <w:t>指标</w:t>
            </w:r>
          </w:p>
        </w:tc>
        <w:tc>
          <w:tcPr>
            <w:tcW w:w="866" w:type="dxa"/>
            <w:tcMar>
              <w:top w:w="10" w:type="dxa"/>
              <w:left w:w="10" w:type="dxa"/>
              <w:bottom w:w="0" w:type="dxa"/>
              <w:right w:w="10" w:type="dxa"/>
            </w:tcMar>
            <w:vAlign w:val="center"/>
          </w:tcPr>
          <w:p>
            <w:pPr>
              <w:ind w:right="-174" w:rightChars="-83"/>
              <w:jc w:val="center"/>
              <w:rPr>
                <w:rFonts w:ascii="仿宋_GB2312" w:eastAsia="仿宋_GB2312"/>
                <w:b/>
                <w:bCs/>
                <w:szCs w:val="21"/>
              </w:rPr>
            </w:pPr>
            <w:r>
              <w:rPr>
                <w:rFonts w:hint="eastAsia" w:ascii="仿宋_GB2312" w:eastAsia="仿宋_GB2312"/>
                <w:b/>
                <w:bCs/>
                <w:szCs w:val="21"/>
              </w:rPr>
              <w:t>二级</w:t>
            </w:r>
          </w:p>
          <w:p>
            <w:pPr>
              <w:ind w:right="-174" w:rightChars="-83"/>
              <w:jc w:val="center"/>
              <w:rPr>
                <w:rFonts w:ascii="仿宋_GB2312" w:eastAsia="仿宋_GB2312"/>
                <w:b/>
                <w:bCs/>
                <w:szCs w:val="21"/>
              </w:rPr>
            </w:pPr>
            <w:r>
              <w:rPr>
                <w:rFonts w:hint="eastAsia" w:ascii="仿宋_GB2312" w:eastAsia="仿宋_GB2312"/>
                <w:b/>
                <w:bCs/>
                <w:szCs w:val="21"/>
              </w:rPr>
              <w:t>指标</w:t>
            </w:r>
          </w:p>
        </w:tc>
        <w:tc>
          <w:tcPr>
            <w:tcW w:w="951"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三级</w:t>
            </w:r>
          </w:p>
          <w:p>
            <w:pPr>
              <w:jc w:val="center"/>
              <w:rPr>
                <w:rFonts w:ascii="仿宋_GB2312" w:eastAsia="仿宋_GB2312"/>
                <w:b/>
                <w:bCs/>
                <w:szCs w:val="21"/>
              </w:rPr>
            </w:pPr>
            <w:r>
              <w:rPr>
                <w:rFonts w:hint="eastAsia" w:ascii="仿宋_GB2312" w:eastAsia="仿宋_GB2312"/>
                <w:b/>
                <w:bCs/>
                <w:szCs w:val="21"/>
              </w:rPr>
              <w:t>指标</w:t>
            </w:r>
          </w:p>
        </w:tc>
        <w:tc>
          <w:tcPr>
            <w:tcW w:w="2908" w:type="dxa"/>
            <w:tcMar>
              <w:top w:w="10" w:type="dxa"/>
              <w:left w:w="10" w:type="dxa"/>
              <w:bottom w:w="0" w:type="dxa"/>
              <w:right w:w="10" w:type="dxa"/>
            </w:tcMar>
            <w:vAlign w:val="center"/>
          </w:tcPr>
          <w:p>
            <w:pPr>
              <w:ind w:left="105" w:leftChars="50" w:right="105" w:rightChars="50"/>
              <w:jc w:val="center"/>
              <w:rPr>
                <w:rFonts w:ascii="仿宋_GB2312" w:eastAsia="仿宋_GB2312"/>
                <w:b/>
                <w:bCs/>
                <w:szCs w:val="21"/>
              </w:rPr>
            </w:pPr>
            <w:r>
              <w:rPr>
                <w:rFonts w:hint="eastAsia" w:ascii="仿宋_GB2312" w:eastAsia="仿宋_GB2312"/>
                <w:b/>
                <w:bCs/>
                <w:szCs w:val="21"/>
              </w:rPr>
              <w:t>评分及标准</w:t>
            </w:r>
          </w:p>
        </w:tc>
        <w:tc>
          <w:tcPr>
            <w:tcW w:w="4252" w:type="dxa"/>
            <w:tcMar>
              <w:top w:w="10" w:type="dxa"/>
              <w:left w:w="10" w:type="dxa"/>
              <w:bottom w:w="0" w:type="dxa"/>
              <w:right w:w="10" w:type="dxa"/>
            </w:tcMar>
            <w:vAlign w:val="center"/>
          </w:tcPr>
          <w:p>
            <w:pPr>
              <w:ind w:left="105" w:leftChars="50" w:right="105" w:rightChars="50"/>
              <w:jc w:val="center"/>
              <w:rPr>
                <w:rFonts w:ascii="仿宋_GB2312" w:eastAsia="仿宋_GB2312"/>
                <w:b/>
                <w:bCs/>
                <w:szCs w:val="21"/>
              </w:rPr>
            </w:pPr>
            <w:r>
              <w:rPr>
                <w:rFonts w:hint="eastAsia" w:ascii="仿宋_GB2312" w:eastAsia="仿宋_GB2312"/>
                <w:b/>
                <w:bCs/>
                <w:szCs w:val="21"/>
              </w:rPr>
              <w:t>指标说明</w:t>
            </w:r>
          </w:p>
        </w:tc>
        <w:tc>
          <w:tcPr>
            <w:tcW w:w="938" w:type="dxa"/>
            <w:vAlign w:val="center"/>
          </w:tcPr>
          <w:p>
            <w:pPr>
              <w:ind w:left="105" w:leftChars="50" w:right="105" w:rightChars="50"/>
              <w:jc w:val="center"/>
              <w:rPr>
                <w:rFonts w:ascii="仿宋_GB2312" w:eastAsia="仿宋_GB2312"/>
                <w:b/>
                <w:bCs/>
                <w:szCs w:val="21"/>
              </w:rPr>
            </w:pPr>
            <w:r>
              <w:rPr>
                <w:rFonts w:hint="eastAsia" w:ascii="仿宋_GB2312" w:eastAsia="仿宋_GB2312"/>
                <w:b/>
                <w:bCs/>
                <w:szCs w:val="21"/>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投</w:t>
            </w:r>
            <w:r>
              <w:rPr>
                <w:rFonts w:ascii="仿宋_GB2312" w:eastAsia="仿宋_GB2312"/>
                <w:szCs w:val="21"/>
              </w:rPr>
              <w:t xml:space="preserve">   </w:t>
            </w:r>
            <w:r>
              <w:rPr>
                <w:rFonts w:hint="eastAsia" w:ascii="仿宋_GB2312" w:eastAsia="仿宋_GB2312"/>
                <w:szCs w:val="21"/>
              </w:rPr>
              <w:t>入</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目标</w:t>
            </w:r>
            <w:r>
              <w:rPr>
                <w:rFonts w:ascii="仿宋_GB2312" w:eastAsia="仿宋_GB2312"/>
                <w:szCs w:val="21"/>
              </w:rPr>
              <w:br w:type="textWrapping"/>
            </w:r>
            <w:r>
              <w:rPr>
                <w:rFonts w:hint="eastAsia" w:ascii="仿宋_GB2312" w:eastAsia="仿宋_GB2312"/>
                <w:szCs w:val="21"/>
              </w:rPr>
              <w:t>设定</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14</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绩效目标</w:t>
            </w:r>
          </w:p>
          <w:p>
            <w:pPr>
              <w:spacing w:line="320" w:lineRule="exact"/>
              <w:jc w:val="center"/>
              <w:rPr>
                <w:rFonts w:ascii="仿宋_GB2312" w:eastAsia="仿宋_GB2312"/>
                <w:szCs w:val="21"/>
              </w:rPr>
            </w:pPr>
            <w:r>
              <w:rPr>
                <w:rFonts w:hint="eastAsia" w:ascii="仿宋_GB2312" w:eastAsia="仿宋_GB2312"/>
                <w:szCs w:val="21"/>
              </w:rPr>
              <w:t>合理性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6</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每项指标评价要点加</w:t>
            </w:r>
            <w:r>
              <w:rPr>
                <w:rFonts w:ascii="仿宋_GB2312" w:eastAsia="仿宋_GB2312"/>
                <w:szCs w:val="21"/>
              </w:rPr>
              <w:t>2</w:t>
            </w:r>
            <w:r>
              <w:rPr>
                <w:rFonts w:hint="eastAsia" w:ascii="仿宋_GB2312" w:eastAsia="仿宋_GB2312"/>
                <w:szCs w:val="21"/>
              </w:rPr>
              <w:t>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是否符合国家法律法规、国民经济和社会发展总体规划</w:t>
            </w:r>
            <w:r>
              <w:rPr>
                <w:rFonts w:ascii="仿宋_GB2312" w:eastAsia="仿宋_GB2312"/>
                <w:szCs w:val="21"/>
              </w:rPr>
              <w:t>2</w:t>
            </w:r>
            <w:r>
              <w:rPr>
                <w:rFonts w:hint="eastAsia" w:ascii="仿宋_GB2312" w:eastAsia="仿宋_GB2312"/>
                <w:szCs w:val="21"/>
              </w:rPr>
              <w:t>分</w:t>
            </w:r>
            <w:r>
              <w:rPr>
                <w:rFonts w:hint="eastAsia" w:ascii="仿宋_GB2312" w:hAnsi="宋体" w:eastAsia="仿宋_GB2312" w:cs="宋体"/>
                <w:szCs w:val="21"/>
              </w:rPr>
              <w:t>②</w:t>
            </w:r>
            <w:r>
              <w:rPr>
                <w:rFonts w:hint="eastAsia" w:ascii="仿宋_GB2312" w:eastAsia="仿宋_GB2312"/>
                <w:szCs w:val="21"/>
              </w:rPr>
              <w:t>是否符合部门“三定”方案确定的职责</w:t>
            </w:r>
            <w:r>
              <w:rPr>
                <w:rFonts w:ascii="仿宋_GB2312" w:eastAsia="仿宋_GB2312"/>
                <w:szCs w:val="21"/>
              </w:rPr>
              <w:t>2</w:t>
            </w:r>
            <w:r>
              <w:rPr>
                <w:rFonts w:hint="eastAsia" w:ascii="仿宋_GB2312" w:eastAsia="仿宋_GB2312"/>
                <w:szCs w:val="21"/>
              </w:rPr>
              <w:t>分</w:t>
            </w:r>
            <w:r>
              <w:rPr>
                <w:rFonts w:hint="eastAsia" w:ascii="仿宋_GB2312" w:hAnsi="宋体" w:eastAsia="仿宋_GB2312" w:cs="宋体"/>
                <w:szCs w:val="21"/>
              </w:rPr>
              <w:t>③</w:t>
            </w:r>
            <w:r>
              <w:rPr>
                <w:rFonts w:hint="eastAsia" w:ascii="仿宋_GB2312" w:eastAsia="仿宋_GB2312"/>
                <w:szCs w:val="21"/>
              </w:rPr>
              <w:t>是否符合部门制定的中长期实施规划</w:t>
            </w:r>
            <w:r>
              <w:rPr>
                <w:rFonts w:ascii="仿宋_GB2312" w:eastAsia="仿宋_GB2312"/>
                <w:szCs w:val="21"/>
              </w:rPr>
              <w:t>2</w:t>
            </w:r>
            <w:r>
              <w:rPr>
                <w:rFonts w:hint="eastAsia" w:ascii="仿宋_GB2312" w:eastAsia="仿宋_GB2312"/>
                <w:szCs w:val="21"/>
              </w:rPr>
              <w:t>分</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7"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绩效指标</w:t>
            </w:r>
          </w:p>
          <w:p>
            <w:pPr>
              <w:spacing w:line="320" w:lineRule="exact"/>
              <w:jc w:val="center"/>
              <w:rPr>
                <w:rFonts w:ascii="仿宋_GB2312" w:eastAsia="仿宋_GB2312"/>
                <w:szCs w:val="21"/>
              </w:rPr>
            </w:pPr>
            <w:r>
              <w:rPr>
                <w:rFonts w:hint="eastAsia" w:ascii="仿宋_GB2312" w:eastAsia="仿宋_GB2312"/>
                <w:szCs w:val="21"/>
              </w:rPr>
              <w:t>明确性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8</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每项指标评价要点加</w:t>
            </w:r>
            <w:r>
              <w:rPr>
                <w:rFonts w:ascii="仿宋_GB2312" w:eastAsia="仿宋_GB2312"/>
                <w:szCs w:val="21"/>
              </w:rPr>
              <w:t>2</w:t>
            </w:r>
            <w:r>
              <w:rPr>
                <w:rFonts w:hint="eastAsia" w:ascii="仿宋_GB2312" w:eastAsia="仿宋_GB2312"/>
                <w:szCs w:val="21"/>
              </w:rPr>
              <w:t>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是否将部门整体的绩效目标细化分解为具体的工作任务</w:t>
            </w:r>
            <w:r>
              <w:rPr>
                <w:rFonts w:ascii="仿宋_GB2312" w:eastAsia="仿宋_GB2312"/>
                <w:szCs w:val="21"/>
              </w:rPr>
              <w:t>2</w:t>
            </w:r>
            <w:r>
              <w:rPr>
                <w:rFonts w:hint="eastAsia" w:ascii="仿宋_GB2312" w:eastAsia="仿宋_GB2312"/>
                <w:szCs w:val="21"/>
              </w:rPr>
              <w:t>分；</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是否通过清晰、可衡量的指标值予以体现。</w:t>
            </w:r>
            <w:r>
              <w:rPr>
                <w:rFonts w:ascii="仿宋_GB2312" w:eastAsia="仿宋_GB2312"/>
                <w:szCs w:val="21"/>
              </w:rPr>
              <w:t xml:space="preserve">    </w:t>
            </w:r>
            <w:r>
              <w:rPr>
                <w:rFonts w:hint="eastAsia" w:ascii="仿宋_GB2312" w:hAnsi="宋体" w:eastAsia="仿宋_GB2312" w:cs="宋体"/>
                <w:szCs w:val="21"/>
              </w:rPr>
              <w:t>③</w:t>
            </w:r>
            <w:r>
              <w:rPr>
                <w:rFonts w:hint="eastAsia" w:ascii="仿宋_GB2312" w:eastAsia="仿宋_GB2312"/>
                <w:szCs w:val="21"/>
              </w:rPr>
              <w:t>是否与部门年度的任务数或计划数相对应</w:t>
            </w:r>
            <w:r>
              <w:rPr>
                <w:rFonts w:ascii="仿宋_GB2312" w:eastAsia="仿宋_GB2312"/>
                <w:szCs w:val="21"/>
              </w:rPr>
              <w:t>2</w:t>
            </w:r>
            <w:r>
              <w:rPr>
                <w:rFonts w:hint="eastAsia" w:ascii="仿宋_GB2312" w:eastAsia="仿宋_GB2312"/>
                <w:szCs w:val="21"/>
              </w:rPr>
              <w:t>分；</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是否与本年度部门预算资金相匹配</w:t>
            </w:r>
            <w:r>
              <w:rPr>
                <w:rFonts w:ascii="仿宋_GB2312" w:eastAsia="仿宋_GB2312"/>
                <w:szCs w:val="21"/>
              </w:rPr>
              <w:t>2</w:t>
            </w:r>
            <w:r>
              <w:rPr>
                <w:rFonts w:hint="eastAsia" w:ascii="仿宋_GB2312" w:eastAsia="仿宋_GB2312"/>
                <w:szCs w:val="21"/>
              </w:rPr>
              <w:t>分。</w:t>
            </w:r>
          </w:p>
        </w:tc>
        <w:tc>
          <w:tcPr>
            <w:tcW w:w="938" w:type="dxa"/>
            <w:vAlign w:val="center"/>
          </w:tcPr>
          <w:p>
            <w:pPr>
              <w:spacing w:line="32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预算</w:t>
            </w:r>
            <w:r>
              <w:rPr>
                <w:rFonts w:ascii="仿宋_GB2312" w:eastAsia="仿宋_GB2312"/>
                <w:szCs w:val="21"/>
              </w:rPr>
              <w:br w:type="textWrapping"/>
            </w:r>
            <w:r>
              <w:rPr>
                <w:rFonts w:hint="eastAsia" w:ascii="仿宋_GB2312" w:eastAsia="仿宋_GB2312"/>
                <w:szCs w:val="21"/>
              </w:rPr>
              <w:t>配置</w:t>
            </w:r>
          </w:p>
          <w:p>
            <w:pPr>
              <w:spacing w:line="320" w:lineRule="exact"/>
              <w:jc w:val="center"/>
              <w:rPr>
                <w:rFonts w:ascii="仿宋_GB2312" w:eastAsia="仿宋_GB2312"/>
                <w:szCs w:val="21"/>
              </w:rPr>
            </w:pPr>
            <w:r>
              <w:rPr>
                <w:rFonts w:hint="eastAsia" w:ascii="仿宋_GB2312" w:eastAsia="仿宋_GB2312"/>
                <w:szCs w:val="21"/>
              </w:rPr>
              <w:t>（</w:t>
            </w:r>
            <w:r>
              <w:rPr>
                <w:rFonts w:ascii="仿宋_GB2312" w:eastAsia="仿宋_GB2312"/>
                <w:szCs w:val="21"/>
              </w:rPr>
              <w:t>6</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在职人员</w:t>
            </w:r>
          </w:p>
          <w:p>
            <w:pPr>
              <w:spacing w:line="320" w:lineRule="exact"/>
              <w:jc w:val="center"/>
              <w:rPr>
                <w:rFonts w:ascii="仿宋_GB2312" w:eastAsia="仿宋_GB2312"/>
                <w:szCs w:val="21"/>
              </w:rPr>
            </w:pPr>
            <w:r>
              <w:rPr>
                <w:rFonts w:hint="eastAsia" w:ascii="仿宋_GB2312" w:eastAsia="仿宋_GB2312"/>
                <w:szCs w:val="21"/>
              </w:rPr>
              <w:t>控制率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以</w:t>
            </w:r>
            <w:r>
              <w:rPr>
                <w:rFonts w:ascii="仿宋_GB2312" w:eastAsia="仿宋_GB2312"/>
                <w:szCs w:val="21"/>
              </w:rPr>
              <w:t>100%</w:t>
            </w:r>
            <w:r>
              <w:rPr>
                <w:rFonts w:hint="eastAsia" w:ascii="仿宋_GB2312" w:eastAsia="仿宋_GB2312"/>
                <w:szCs w:val="21"/>
              </w:rPr>
              <w:t>为标准，在职人员控制率≤</w:t>
            </w:r>
            <w:r>
              <w:rPr>
                <w:rFonts w:ascii="仿宋_GB2312" w:eastAsia="仿宋_GB2312"/>
                <w:szCs w:val="21"/>
              </w:rPr>
              <w:t>100%</w:t>
            </w:r>
            <w:r>
              <w:rPr>
                <w:rFonts w:hint="eastAsia" w:ascii="仿宋_GB2312" w:eastAsia="仿宋_GB2312"/>
                <w:szCs w:val="21"/>
              </w:rPr>
              <w:t>，计</w:t>
            </w:r>
            <w:r>
              <w:rPr>
                <w:rFonts w:ascii="仿宋_GB2312" w:eastAsia="仿宋_GB2312"/>
                <w:szCs w:val="21"/>
              </w:rPr>
              <w:t>2</w:t>
            </w:r>
            <w:r>
              <w:rPr>
                <w:rFonts w:hint="eastAsia" w:ascii="仿宋_GB2312" w:eastAsia="仿宋_GB2312"/>
                <w:szCs w:val="21"/>
              </w:rPr>
              <w:t>分；每超过一个百分点扣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在职人员控制率</w:t>
            </w:r>
            <w:r>
              <w:rPr>
                <w:rFonts w:ascii="仿宋_GB2312" w:eastAsia="仿宋_GB2312"/>
                <w:szCs w:val="21"/>
              </w:rPr>
              <w:t>=</w:t>
            </w:r>
            <w:r>
              <w:rPr>
                <w:rFonts w:hint="eastAsia" w:ascii="仿宋_GB2312" w:eastAsia="仿宋_GB2312"/>
                <w:szCs w:val="21"/>
              </w:rPr>
              <w:t>（在职人员数</w:t>
            </w:r>
            <w:r>
              <w:rPr>
                <w:rFonts w:ascii="仿宋_GB2312" w:eastAsia="仿宋_GB2312"/>
                <w:szCs w:val="21"/>
              </w:rPr>
              <w:t>/</w:t>
            </w:r>
            <w:r>
              <w:rPr>
                <w:rFonts w:hint="eastAsia" w:ascii="仿宋_GB2312" w:eastAsia="仿宋_GB2312"/>
                <w:szCs w:val="21"/>
              </w:rPr>
              <w:t>编制数）×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在职人员数：部门实际在职人数，以财政部确定的部门决算编制口径为准。</w:t>
            </w:r>
            <w:r>
              <w:rPr>
                <w:rFonts w:ascii="仿宋_GB2312" w:eastAsia="仿宋_GB2312"/>
                <w:szCs w:val="21"/>
              </w:rPr>
              <w:br w:type="textWrapping"/>
            </w:r>
            <w:r>
              <w:rPr>
                <w:rFonts w:hint="eastAsia" w:ascii="仿宋_GB2312" w:eastAsia="仿宋_GB2312"/>
                <w:szCs w:val="21"/>
              </w:rPr>
              <w:t>编制数：机构编制部门核定批复的部门的人员编制数。</w:t>
            </w:r>
          </w:p>
        </w:tc>
        <w:tc>
          <w:tcPr>
            <w:tcW w:w="938" w:type="dxa"/>
            <w:vAlign w:val="center"/>
          </w:tcPr>
          <w:p>
            <w:pPr>
              <w:spacing w:line="32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hint="eastAsia" w:ascii="仿宋_GB2312" w:eastAsia="仿宋_GB2312"/>
                <w:szCs w:val="21"/>
                <w:lang w:eastAsia="zh-CN"/>
              </w:rPr>
            </w:pPr>
            <w:r>
              <w:rPr>
                <w:rFonts w:hint="eastAsia" w:ascii="仿宋_GB2312" w:eastAsia="仿宋_GB2312"/>
                <w:szCs w:val="21"/>
                <w:lang w:eastAsia="zh-CN"/>
              </w:rPr>
              <w:t>“三公”经费</w:t>
            </w:r>
          </w:p>
          <w:p>
            <w:pPr>
              <w:spacing w:line="320" w:lineRule="exact"/>
              <w:jc w:val="center"/>
              <w:rPr>
                <w:rFonts w:ascii="仿宋_GB2312" w:eastAsia="仿宋_GB2312"/>
                <w:szCs w:val="21"/>
              </w:rPr>
            </w:pPr>
            <w:r>
              <w:rPr>
                <w:rFonts w:hint="eastAsia" w:ascii="仿宋_GB2312" w:eastAsia="仿宋_GB2312"/>
                <w:szCs w:val="21"/>
              </w:rPr>
              <w:t>变动率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lang w:eastAsia="zh-CN"/>
              </w:rPr>
              <w:t>“三公”经费</w:t>
            </w:r>
            <w:r>
              <w:rPr>
                <w:rFonts w:hint="eastAsia" w:ascii="仿宋_GB2312" w:eastAsia="仿宋_GB2312"/>
                <w:szCs w:val="21"/>
              </w:rPr>
              <w:t>变动率为</w:t>
            </w:r>
            <w:r>
              <w:rPr>
                <w:rFonts w:ascii="仿宋_GB2312" w:eastAsia="仿宋_GB2312"/>
                <w:szCs w:val="21"/>
              </w:rPr>
              <w:t>0</w:t>
            </w:r>
            <w:r>
              <w:rPr>
                <w:rFonts w:hint="eastAsia" w:ascii="仿宋_GB2312" w:eastAsia="仿宋_GB2312"/>
                <w:szCs w:val="21"/>
              </w:rPr>
              <w:t>，计</w:t>
            </w:r>
            <w:r>
              <w:rPr>
                <w:rFonts w:ascii="仿宋_GB2312" w:eastAsia="仿宋_GB2312"/>
                <w:szCs w:val="21"/>
              </w:rPr>
              <w:t>5</w:t>
            </w:r>
            <w:r>
              <w:rPr>
                <w:rFonts w:hint="eastAsia" w:ascii="仿宋_GB2312" w:eastAsia="仿宋_GB2312"/>
                <w:szCs w:val="21"/>
              </w:rPr>
              <w:t>分；</w:t>
            </w:r>
            <w:r>
              <w:rPr>
                <w:rFonts w:hint="eastAsia" w:ascii="仿宋_GB2312" w:eastAsia="仿宋_GB2312"/>
                <w:szCs w:val="21"/>
                <w:lang w:eastAsia="zh-CN"/>
              </w:rPr>
              <w:t>“三公”经费</w:t>
            </w:r>
            <w:r>
              <w:rPr>
                <w:rFonts w:hint="eastAsia" w:ascii="仿宋_GB2312" w:eastAsia="仿宋_GB2312"/>
                <w:szCs w:val="21"/>
              </w:rPr>
              <w:t>＞</w:t>
            </w:r>
            <w:r>
              <w:rPr>
                <w:rFonts w:ascii="仿宋_GB2312" w:eastAsia="仿宋_GB2312"/>
                <w:szCs w:val="21"/>
              </w:rPr>
              <w:t>0</w:t>
            </w:r>
            <w:r>
              <w:rPr>
                <w:rFonts w:hint="eastAsia" w:ascii="仿宋_GB2312" w:eastAsia="仿宋_GB2312"/>
                <w:szCs w:val="21"/>
              </w:rPr>
              <w:t>，每超过一个百分点扣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“三公”经费变动率</w:t>
            </w:r>
            <w:r>
              <w:rPr>
                <w:rFonts w:ascii="仿宋_GB2312" w:eastAsia="仿宋_GB2312"/>
                <w:szCs w:val="21"/>
              </w:rPr>
              <w:t>=[</w:t>
            </w:r>
            <w:r>
              <w:rPr>
                <w:rFonts w:hint="eastAsia" w:ascii="仿宋_GB2312" w:eastAsia="仿宋_GB2312"/>
                <w:szCs w:val="21"/>
              </w:rPr>
              <w:t>（本年度“三公”经费总额</w:t>
            </w:r>
            <w:r>
              <w:rPr>
                <w:rFonts w:ascii="仿宋_GB2312" w:eastAsia="仿宋_GB2312"/>
                <w:szCs w:val="21"/>
              </w:rPr>
              <w:t>-</w:t>
            </w:r>
            <w:r>
              <w:rPr>
                <w:rFonts w:hint="eastAsia" w:ascii="仿宋_GB2312" w:eastAsia="仿宋_GB2312"/>
                <w:szCs w:val="21"/>
              </w:rPr>
              <w:t>上年度“三公”经费总额）</w:t>
            </w:r>
            <w:r>
              <w:rPr>
                <w:rFonts w:ascii="仿宋_GB2312" w:eastAsia="仿宋_GB2312"/>
                <w:szCs w:val="21"/>
              </w:rPr>
              <w:t>/</w:t>
            </w:r>
            <w:r>
              <w:rPr>
                <w:rFonts w:hint="eastAsia" w:ascii="仿宋_GB2312" w:eastAsia="仿宋_GB2312"/>
                <w:szCs w:val="21"/>
              </w:rPr>
              <w:t>上年度“三公”经费总额</w:t>
            </w:r>
            <w:r>
              <w:rPr>
                <w:rFonts w:ascii="仿宋_GB2312" w:eastAsia="仿宋_GB2312"/>
                <w:szCs w:val="21"/>
              </w:rPr>
              <w:t>]</w:t>
            </w:r>
            <w:r>
              <w:rPr>
                <w:rFonts w:hint="eastAsia" w:ascii="仿宋_GB2312" w:eastAsia="仿宋_GB2312"/>
                <w:szCs w:val="21"/>
              </w:rPr>
              <w:t>×</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“三公”经费：年度预算安排的因公出国（境）费、公务车辆购置及运行费和公务招待费。</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重点支出</w:t>
            </w:r>
          </w:p>
          <w:p>
            <w:pPr>
              <w:spacing w:line="320" w:lineRule="exact"/>
              <w:jc w:val="center"/>
              <w:rPr>
                <w:rFonts w:ascii="仿宋_GB2312" w:eastAsia="仿宋_GB2312"/>
                <w:szCs w:val="21"/>
              </w:rPr>
            </w:pPr>
            <w:r>
              <w:rPr>
                <w:rFonts w:hint="eastAsia" w:ascii="仿宋_GB2312" w:eastAsia="仿宋_GB2312"/>
                <w:szCs w:val="21"/>
              </w:rPr>
              <w:t>安排率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“重点支出安排率”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50%</w:t>
            </w:r>
            <w:r>
              <w:rPr>
                <w:rFonts w:hint="eastAsia" w:ascii="仿宋_GB2312" w:eastAsia="仿宋_GB2312"/>
                <w:szCs w:val="21"/>
              </w:rPr>
              <w:t>，计</w:t>
            </w:r>
            <w:r>
              <w:rPr>
                <w:rFonts w:ascii="仿宋_GB2312" w:eastAsia="仿宋_GB2312"/>
                <w:szCs w:val="21"/>
              </w:rPr>
              <w:t>2</w:t>
            </w:r>
            <w:r>
              <w:rPr>
                <w:rFonts w:hint="eastAsia" w:ascii="仿宋_GB2312" w:eastAsia="仿宋_GB2312"/>
                <w:szCs w:val="21"/>
              </w:rPr>
              <w:t>分，每下降一个百分点扣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重点支出安排率</w:t>
            </w:r>
            <w:r>
              <w:rPr>
                <w:rFonts w:ascii="仿宋_GB2312" w:eastAsia="仿宋_GB2312"/>
                <w:szCs w:val="21"/>
              </w:rPr>
              <w:t>=</w:t>
            </w:r>
            <w:r>
              <w:rPr>
                <w:rFonts w:hint="eastAsia" w:ascii="仿宋_GB2312" w:eastAsia="仿宋_GB2312"/>
                <w:szCs w:val="21"/>
              </w:rPr>
              <w:t>（重点预算支出</w:t>
            </w:r>
            <w:r>
              <w:rPr>
                <w:rFonts w:ascii="仿宋_GB2312" w:eastAsia="仿宋_GB2312"/>
                <w:szCs w:val="21"/>
              </w:rPr>
              <w:t>/</w:t>
            </w:r>
            <w:r>
              <w:rPr>
                <w:rFonts w:hint="eastAsia" w:ascii="仿宋_GB2312" w:eastAsia="仿宋_GB2312"/>
                <w:szCs w:val="21"/>
              </w:rPr>
              <w:t>预算总支出）×</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重点预算支出：部门年度预算安排的，与本部门履职和发展密切相关、具有明显社会和经济影响、党委政府关心或社会比较关注的预算支出支出总额。</w:t>
            </w:r>
            <w:r>
              <w:rPr>
                <w:rFonts w:ascii="仿宋_GB2312" w:eastAsia="仿宋_GB2312"/>
                <w:szCs w:val="21"/>
              </w:rPr>
              <w:br w:type="textWrapping"/>
            </w:r>
            <w:r>
              <w:rPr>
                <w:rFonts w:hint="eastAsia" w:ascii="仿宋_GB2312" w:eastAsia="仿宋_GB2312"/>
                <w:szCs w:val="21"/>
              </w:rPr>
              <w:t>预算总支出：部门年度预算安排的预算支出支出总额。</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过</w:t>
            </w:r>
          </w:p>
          <w:p>
            <w:pPr>
              <w:spacing w:line="320" w:lineRule="exact"/>
              <w:jc w:val="center"/>
              <w:rPr>
                <w:rFonts w:ascii="仿宋_GB2312" w:eastAsia="仿宋_GB2312"/>
                <w:szCs w:val="21"/>
              </w:rPr>
            </w:pPr>
            <w:r>
              <w:rPr>
                <w:rFonts w:hint="eastAsia" w:ascii="仿宋_GB2312" w:eastAsia="仿宋_GB2312"/>
                <w:szCs w:val="21"/>
              </w:rPr>
              <w:t>程</w:t>
            </w:r>
          </w:p>
          <w:p>
            <w:pPr>
              <w:spacing w:line="320" w:lineRule="exact"/>
              <w:jc w:val="center"/>
              <w:rPr>
                <w:rFonts w:ascii="仿宋_GB2312" w:eastAsia="仿宋_GB2312"/>
                <w:szCs w:val="21"/>
              </w:rPr>
            </w:pPr>
            <w:r>
              <w:rPr>
                <w:rFonts w:hint="eastAsia" w:ascii="仿宋_GB2312" w:eastAsia="仿宋_GB2312"/>
                <w:szCs w:val="21"/>
              </w:rPr>
              <w:t>（</w:t>
            </w:r>
            <w:r>
              <w:rPr>
                <w:rFonts w:ascii="仿宋_GB2312" w:eastAsia="仿宋_GB2312"/>
                <w:szCs w:val="21"/>
              </w:rPr>
              <w:t>40</w:t>
            </w:r>
            <w:r>
              <w:rPr>
                <w:rFonts w:hint="eastAsia" w:ascii="仿宋_GB2312" w:eastAsia="仿宋_GB2312"/>
                <w:szCs w:val="21"/>
              </w:rPr>
              <w:t>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预算</w:t>
            </w:r>
            <w:r>
              <w:rPr>
                <w:rFonts w:ascii="仿宋_GB2312" w:eastAsia="仿宋_GB2312"/>
                <w:szCs w:val="21"/>
              </w:rPr>
              <w:br w:type="textWrapping"/>
            </w:r>
            <w:r>
              <w:rPr>
                <w:rFonts w:hint="eastAsia" w:ascii="仿宋_GB2312" w:eastAsia="仿宋_GB2312"/>
                <w:szCs w:val="21"/>
              </w:rPr>
              <w:t>执行</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26</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预算</w:t>
            </w:r>
          </w:p>
          <w:p>
            <w:pPr>
              <w:spacing w:line="320" w:lineRule="exact"/>
              <w:jc w:val="center"/>
              <w:rPr>
                <w:rFonts w:ascii="仿宋_GB2312" w:eastAsia="仿宋_GB2312"/>
                <w:szCs w:val="21"/>
              </w:rPr>
            </w:pPr>
            <w:r>
              <w:rPr>
                <w:rFonts w:hint="eastAsia" w:ascii="仿宋_GB2312" w:eastAsia="仿宋_GB2312"/>
                <w:szCs w:val="21"/>
              </w:rPr>
              <w:t>执行率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计满分，每低于</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预算执行率</w:t>
            </w:r>
            <w:r>
              <w:rPr>
                <w:rFonts w:ascii="仿宋_GB2312" w:eastAsia="仿宋_GB2312"/>
                <w:szCs w:val="21"/>
              </w:rPr>
              <w:t>=</w:t>
            </w:r>
            <w:r>
              <w:rPr>
                <w:rFonts w:hint="eastAsia" w:ascii="仿宋_GB2312" w:eastAsia="仿宋_GB2312"/>
                <w:szCs w:val="21"/>
              </w:rPr>
              <w:t>（预算执行数</w:t>
            </w:r>
            <w:r>
              <w:rPr>
                <w:rFonts w:ascii="仿宋_GB2312" w:eastAsia="仿宋_GB2312"/>
                <w:szCs w:val="21"/>
              </w:rPr>
              <w:t>/</w:t>
            </w:r>
            <w:r>
              <w:rPr>
                <w:rFonts w:hint="eastAsia" w:ascii="仿宋_GB2312" w:eastAsia="仿宋_GB2312"/>
                <w:szCs w:val="21"/>
              </w:rPr>
              <w:t>预算数）×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预算执行数：部门本年度实际完成的预算数。</w:t>
            </w:r>
            <w:r>
              <w:rPr>
                <w:rFonts w:ascii="仿宋_GB2312" w:eastAsia="仿宋_GB2312"/>
                <w:szCs w:val="21"/>
              </w:rPr>
              <w:br w:type="textWrapping"/>
            </w:r>
            <w:r>
              <w:rPr>
                <w:rFonts w:hint="eastAsia" w:ascii="仿宋_GB2312" w:eastAsia="仿宋_GB2312"/>
                <w:szCs w:val="21"/>
              </w:rPr>
              <w:t>预算数：财政部门批复的本年度部门预算数。</w:t>
            </w:r>
          </w:p>
        </w:tc>
        <w:tc>
          <w:tcPr>
            <w:tcW w:w="938" w:type="dxa"/>
            <w:vAlign w:val="center"/>
          </w:tcPr>
          <w:p>
            <w:pPr>
              <w:spacing w:line="32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8"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预算</w:t>
            </w:r>
          </w:p>
          <w:p>
            <w:pPr>
              <w:spacing w:line="320" w:lineRule="exact"/>
              <w:jc w:val="center"/>
              <w:rPr>
                <w:rFonts w:ascii="仿宋_GB2312" w:eastAsia="仿宋_GB2312"/>
                <w:szCs w:val="21"/>
              </w:rPr>
            </w:pPr>
            <w:r>
              <w:rPr>
                <w:rFonts w:hint="eastAsia" w:ascii="仿宋_GB2312" w:eastAsia="仿宋_GB2312"/>
                <w:szCs w:val="21"/>
              </w:rPr>
              <w:t>调整率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预算调整率</w:t>
            </w:r>
            <w:r>
              <w:rPr>
                <w:rFonts w:ascii="仿宋_GB2312" w:eastAsia="仿宋_GB2312"/>
                <w:szCs w:val="21"/>
              </w:rPr>
              <w:t>=</w:t>
            </w:r>
            <w:r>
              <w:rPr>
                <w:rFonts w:hint="eastAsia" w:ascii="仿宋_GB2312" w:eastAsia="仿宋_GB2312"/>
                <w:szCs w:val="21"/>
              </w:rPr>
              <w:t>（预算调整数</w:t>
            </w:r>
            <w:r>
              <w:rPr>
                <w:rFonts w:ascii="仿宋_GB2312" w:eastAsia="仿宋_GB2312"/>
                <w:szCs w:val="21"/>
              </w:rPr>
              <w:t>/</w:t>
            </w:r>
            <w:r>
              <w:rPr>
                <w:rFonts w:hint="eastAsia" w:ascii="仿宋_GB2312" w:eastAsia="仿宋_GB2312"/>
                <w:szCs w:val="21"/>
              </w:rPr>
              <w:t>预算数）×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预算调整数：部门在本年度内涉及预算的追加、追减或结构调整的资金总和（因落实国家政策、发生不可抗力、上级部门或本级党委政府临时交办而产生的调整除外）。</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9"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支付</w:t>
            </w:r>
          </w:p>
          <w:p>
            <w:pPr>
              <w:spacing w:line="320" w:lineRule="exact"/>
              <w:jc w:val="center"/>
              <w:rPr>
                <w:rFonts w:ascii="仿宋_GB2312" w:eastAsia="仿宋_GB2312"/>
                <w:szCs w:val="21"/>
              </w:rPr>
            </w:pPr>
            <w:r>
              <w:rPr>
                <w:rFonts w:hint="eastAsia" w:ascii="仿宋_GB2312" w:eastAsia="仿宋_GB2312"/>
                <w:szCs w:val="21"/>
              </w:rPr>
              <w:t>进度率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计满分，每低于</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支付进度率</w:t>
            </w:r>
            <w:r>
              <w:rPr>
                <w:rFonts w:ascii="仿宋_GB2312" w:eastAsia="仿宋_GB2312"/>
                <w:szCs w:val="21"/>
              </w:rPr>
              <w:t>=</w:t>
            </w:r>
            <w:r>
              <w:rPr>
                <w:rFonts w:hint="eastAsia" w:ascii="仿宋_GB2312" w:eastAsia="仿宋_GB2312"/>
                <w:szCs w:val="21"/>
              </w:rPr>
              <w:t>（实际支付进度</w:t>
            </w:r>
            <w:r>
              <w:rPr>
                <w:rFonts w:ascii="仿宋_GB2312" w:eastAsia="仿宋_GB2312"/>
                <w:szCs w:val="21"/>
              </w:rPr>
              <w:t>/</w:t>
            </w:r>
            <w:r>
              <w:rPr>
                <w:rFonts w:hint="eastAsia" w:ascii="仿宋_GB2312" w:eastAsia="仿宋_GB2312"/>
                <w:szCs w:val="21"/>
              </w:rPr>
              <w:t>既定支付进度）×</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实际支付进度：部门在某一时点的支出预算执行总数与年度支出预算数的比率。</w:t>
            </w:r>
            <w:r>
              <w:rPr>
                <w:rFonts w:ascii="仿宋_GB2312" w:eastAsia="仿宋_GB2312"/>
                <w:szCs w:val="21"/>
              </w:rPr>
              <w:br w:type="textWrapping"/>
            </w:r>
            <w:r>
              <w:rPr>
                <w:rFonts w:hint="eastAsia" w:ascii="仿宋_GB2312" w:eastAsia="仿宋_GB2312"/>
                <w:szCs w:val="21"/>
              </w:rPr>
              <w:t>既定支付进度：由部门在申报部门整体绩效目标时，参照序时支付进度、前三年支付进度、本级部门平均支付进度水平等确定的，在某一时点应达到的支付进度（比率）。</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9" w:hRule="atLeast"/>
          <w:jc w:val="center"/>
        </w:trPr>
        <w:tc>
          <w:tcPr>
            <w:tcW w:w="666"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szCs w:val="21"/>
              </w:rPr>
            </w:pPr>
          </w:p>
        </w:tc>
        <w:tc>
          <w:tcPr>
            <w:tcW w:w="866" w:type="dxa"/>
            <w:vMerge w:val="continue"/>
            <w:tcMar>
              <w:top w:w="10" w:type="dxa"/>
              <w:left w:w="10" w:type="dxa"/>
              <w:bottom w:w="0" w:type="dxa"/>
              <w:right w:w="10" w:type="dxa"/>
            </w:tcMar>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结转</w:t>
            </w:r>
          </w:p>
          <w:p>
            <w:pPr>
              <w:spacing w:line="320" w:lineRule="exact"/>
              <w:jc w:val="center"/>
              <w:rPr>
                <w:rFonts w:ascii="仿宋_GB2312" w:eastAsia="仿宋_GB2312"/>
                <w:szCs w:val="21"/>
              </w:rPr>
            </w:pPr>
            <w:r>
              <w:rPr>
                <w:rFonts w:hint="eastAsia" w:ascii="仿宋_GB2312" w:eastAsia="仿宋_GB2312"/>
                <w:szCs w:val="21"/>
              </w:rPr>
              <w:t>结余率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0%</w:t>
            </w:r>
            <w:r>
              <w:rPr>
                <w:rFonts w:hint="eastAsia" w:ascii="仿宋_GB2312" w:eastAsia="仿宋_GB2312"/>
                <w:szCs w:val="21"/>
              </w:rPr>
              <w:t>计满分，每超过</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结转结余率</w:t>
            </w:r>
            <w:r>
              <w:rPr>
                <w:rFonts w:ascii="仿宋_GB2312" w:eastAsia="仿宋_GB2312"/>
                <w:szCs w:val="21"/>
              </w:rPr>
              <w:t>=</w:t>
            </w:r>
            <w:r>
              <w:rPr>
                <w:rFonts w:hint="eastAsia" w:ascii="仿宋_GB2312" w:eastAsia="仿宋_GB2312"/>
                <w:szCs w:val="21"/>
              </w:rPr>
              <w:t>结转结余总额</w:t>
            </w:r>
            <w:r>
              <w:rPr>
                <w:rFonts w:ascii="仿宋_GB2312" w:eastAsia="仿宋_GB2312"/>
                <w:szCs w:val="21"/>
              </w:rPr>
              <w:t>/</w:t>
            </w:r>
            <w:r>
              <w:rPr>
                <w:rFonts w:hint="eastAsia" w:ascii="仿宋_GB2312" w:eastAsia="仿宋_GB2312"/>
                <w:szCs w:val="21"/>
              </w:rPr>
              <w:t>支出预算数×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结转结余总额：部门本年度的结转资金与结余资金之和（以决算数为准）。</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7"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结转结余</w:t>
            </w:r>
          </w:p>
          <w:p>
            <w:pPr>
              <w:spacing w:line="320" w:lineRule="exact"/>
              <w:jc w:val="center"/>
              <w:rPr>
                <w:rFonts w:ascii="仿宋_GB2312" w:eastAsia="仿宋_GB2312"/>
                <w:szCs w:val="21"/>
              </w:rPr>
            </w:pPr>
            <w:r>
              <w:rPr>
                <w:rFonts w:hint="eastAsia" w:ascii="仿宋_GB2312" w:eastAsia="仿宋_GB2312"/>
                <w:szCs w:val="21"/>
              </w:rPr>
              <w:t>变动率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0%</w:t>
            </w:r>
            <w:r>
              <w:rPr>
                <w:rFonts w:hint="eastAsia" w:ascii="仿宋_GB2312" w:eastAsia="仿宋_GB2312"/>
                <w:szCs w:val="21"/>
              </w:rPr>
              <w:t>计满分，每超过</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结转结余变动率</w:t>
            </w:r>
            <w:r>
              <w:rPr>
                <w:rFonts w:ascii="仿宋_GB2312" w:eastAsia="仿宋_GB2312"/>
                <w:szCs w:val="21"/>
              </w:rPr>
              <w:t>=[</w:t>
            </w:r>
            <w:r>
              <w:rPr>
                <w:rFonts w:hint="eastAsia" w:ascii="仿宋_GB2312" w:eastAsia="仿宋_GB2312"/>
                <w:szCs w:val="21"/>
              </w:rPr>
              <w:t>（本年度累计结转结余资金总额</w:t>
            </w:r>
            <w:r>
              <w:rPr>
                <w:rFonts w:ascii="仿宋_GB2312" w:eastAsia="仿宋_GB2312"/>
                <w:szCs w:val="21"/>
              </w:rPr>
              <w:t>-</w:t>
            </w:r>
            <w:r>
              <w:rPr>
                <w:rFonts w:hint="eastAsia" w:ascii="仿宋_GB2312" w:eastAsia="仿宋_GB2312"/>
                <w:szCs w:val="21"/>
              </w:rPr>
              <w:t>上年度累计结转结余资金总额）</w:t>
            </w:r>
            <w:r>
              <w:rPr>
                <w:rFonts w:ascii="仿宋_GB2312" w:eastAsia="仿宋_GB2312"/>
                <w:szCs w:val="21"/>
              </w:rPr>
              <w:t>/</w:t>
            </w:r>
            <w:r>
              <w:rPr>
                <w:rFonts w:hint="eastAsia" w:ascii="仿宋_GB2312" w:eastAsia="仿宋_GB2312"/>
                <w:szCs w:val="21"/>
              </w:rPr>
              <w:t>上年度累计结转结余资金总额</w:t>
            </w:r>
            <w:r>
              <w:rPr>
                <w:rFonts w:ascii="仿宋_GB2312" w:eastAsia="仿宋_GB2312"/>
                <w:szCs w:val="21"/>
              </w:rPr>
              <w:t>]</w:t>
            </w:r>
            <w:r>
              <w:rPr>
                <w:rFonts w:hint="eastAsia" w:ascii="仿宋_GB2312" w:eastAsia="仿宋_GB2312"/>
                <w:szCs w:val="21"/>
              </w:rPr>
              <w:t>×</w:t>
            </w:r>
            <w:r>
              <w:rPr>
                <w:rFonts w:ascii="仿宋_GB2312" w:eastAsia="仿宋_GB2312"/>
                <w:szCs w:val="21"/>
              </w:rPr>
              <w:t>100%</w:t>
            </w:r>
            <w:r>
              <w:rPr>
                <w:rFonts w:hint="eastAsia" w:ascii="仿宋_GB2312" w:eastAsia="仿宋_GB2312"/>
                <w:szCs w:val="21"/>
              </w:rPr>
              <w:t>。</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公用经费</w:t>
            </w:r>
          </w:p>
          <w:p>
            <w:pPr>
              <w:spacing w:line="320" w:lineRule="exact"/>
              <w:jc w:val="center"/>
              <w:rPr>
                <w:rFonts w:ascii="仿宋_GB2312" w:eastAsia="仿宋_GB2312"/>
                <w:szCs w:val="21"/>
              </w:rPr>
            </w:pPr>
            <w:r>
              <w:rPr>
                <w:rFonts w:hint="eastAsia" w:ascii="仿宋_GB2312" w:eastAsia="仿宋_GB2312"/>
                <w:szCs w:val="21"/>
              </w:rPr>
              <w:t>控制率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以下（含）计满分，每超出</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公用经费控制率</w:t>
            </w:r>
            <w:r>
              <w:rPr>
                <w:rFonts w:ascii="仿宋_GB2312" w:eastAsia="仿宋_GB2312"/>
                <w:szCs w:val="21"/>
              </w:rPr>
              <w:t>=</w:t>
            </w:r>
            <w:r>
              <w:rPr>
                <w:rFonts w:hint="eastAsia" w:ascii="仿宋_GB2312" w:eastAsia="仿宋_GB2312"/>
                <w:szCs w:val="21"/>
              </w:rPr>
              <w:t>（实际支出公用经费总额</w:t>
            </w:r>
            <w:r>
              <w:rPr>
                <w:rFonts w:ascii="仿宋_GB2312" w:eastAsia="仿宋_GB2312"/>
                <w:szCs w:val="21"/>
              </w:rPr>
              <w:t>/</w:t>
            </w:r>
            <w:r>
              <w:rPr>
                <w:rFonts w:hint="eastAsia" w:ascii="仿宋_GB2312" w:eastAsia="仿宋_GB2312"/>
                <w:szCs w:val="21"/>
              </w:rPr>
              <w:t>预算安排公用经费总额）×</w:t>
            </w:r>
            <w:r>
              <w:rPr>
                <w:rFonts w:ascii="仿宋_GB2312" w:eastAsia="仿宋_GB2312"/>
                <w:szCs w:val="21"/>
              </w:rPr>
              <w:t>100%</w:t>
            </w:r>
            <w:r>
              <w:rPr>
                <w:rFonts w:hint="eastAsia" w:ascii="仿宋_GB2312" w:eastAsia="仿宋_GB2312"/>
                <w:szCs w:val="21"/>
              </w:rPr>
              <w:t>。</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4" w:hRule="atLeast"/>
          <w:jc w:val="center"/>
        </w:trPr>
        <w:tc>
          <w:tcPr>
            <w:tcW w:w="6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过</w:t>
            </w:r>
          </w:p>
          <w:p>
            <w:pPr>
              <w:spacing w:line="320" w:lineRule="exact"/>
              <w:jc w:val="center"/>
              <w:rPr>
                <w:rFonts w:ascii="仿宋_GB2312" w:eastAsia="仿宋_GB2312"/>
                <w:szCs w:val="21"/>
              </w:rPr>
            </w:pPr>
            <w:r>
              <w:rPr>
                <w:rFonts w:hint="eastAsia" w:ascii="仿宋_GB2312" w:eastAsia="仿宋_GB2312"/>
                <w:szCs w:val="21"/>
              </w:rPr>
              <w:t>程</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40</w:t>
            </w:r>
            <w:r>
              <w:rPr>
                <w:rFonts w:hint="eastAsia" w:ascii="仿宋_GB2312" w:eastAsia="仿宋_GB2312"/>
                <w:szCs w:val="21"/>
              </w:rPr>
              <w:t>分）</w:t>
            </w:r>
          </w:p>
        </w:tc>
        <w:tc>
          <w:tcPr>
            <w:tcW w:w="8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预算</w:t>
            </w:r>
            <w:r>
              <w:rPr>
                <w:rFonts w:ascii="仿宋_GB2312" w:eastAsia="仿宋_GB2312"/>
                <w:szCs w:val="21"/>
              </w:rPr>
              <w:br w:type="textWrapping"/>
            </w:r>
            <w:r>
              <w:rPr>
                <w:rFonts w:hint="eastAsia" w:ascii="仿宋_GB2312" w:eastAsia="仿宋_GB2312"/>
                <w:szCs w:val="21"/>
              </w:rPr>
              <w:t>执行</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26</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“三公”经费控制率（</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以下（含）计满分，每超出</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“三公”经费控制率</w:t>
            </w:r>
            <w:r>
              <w:rPr>
                <w:rFonts w:ascii="仿宋_GB2312" w:eastAsia="仿宋_GB2312"/>
                <w:szCs w:val="21"/>
              </w:rPr>
              <w:t>=</w:t>
            </w:r>
            <w:r>
              <w:rPr>
                <w:rFonts w:hint="eastAsia" w:ascii="仿宋_GB2312" w:eastAsia="仿宋_GB2312"/>
                <w:szCs w:val="21"/>
              </w:rPr>
              <w:t>（“三公”经费实际支出数</w:t>
            </w:r>
            <w:r>
              <w:rPr>
                <w:rFonts w:ascii="仿宋_GB2312" w:eastAsia="仿宋_GB2312"/>
                <w:szCs w:val="21"/>
              </w:rPr>
              <w:t>/</w:t>
            </w:r>
            <w:r>
              <w:rPr>
                <w:rFonts w:hint="eastAsia" w:ascii="仿宋_GB2312" w:eastAsia="仿宋_GB2312"/>
                <w:szCs w:val="21"/>
              </w:rPr>
              <w:t>“三公”经费预算安排数）×</w:t>
            </w:r>
            <w:r>
              <w:rPr>
                <w:rFonts w:ascii="仿宋_GB2312" w:eastAsia="仿宋_GB2312"/>
                <w:szCs w:val="21"/>
              </w:rPr>
              <w:t>100%</w:t>
            </w:r>
            <w:r>
              <w:rPr>
                <w:rFonts w:hint="eastAsia" w:ascii="仿宋_GB2312" w:eastAsia="仿宋_GB2312"/>
                <w:szCs w:val="21"/>
              </w:rPr>
              <w:t>。</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政府采购</w:t>
            </w:r>
          </w:p>
          <w:p>
            <w:pPr>
              <w:spacing w:line="320" w:lineRule="exact"/>
              <w:jc w:val="center"/>
              <w:rPr>
                <w:rFonts w:ascii="仿宋_GB2312" w:eastAsia="仿宋_GB2312"/>
                <w:szCs w:val="21"/>
              </w:rPr>
            </w:pPr>
            <w:r>
              <w:rPr>
                <w:rFonts w:hint="eastAsia" w:ascii="仿宋_GB2312" w:eastAsia="仿宋_GB2312"/>
                <w:szCs w:val="21"/>
              </w:rPr>
              <w:t>执行率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计满分，每超过（降低）</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政府采购执行率</w:t>
            </w:r>
            <w:r>
              <w:rPr>
                <w:rFonts w:ascii="仿宋_GB2312" w:eastAsia="仿宋_GB2312"/>
                <w:szCs w:val="21"/>
              </w:rPr>
              <w:t>=</w:t>
            </w:r>
            <w:r>
              <w:rPr>
                <w:rFonts w:hint="eastAsia" w:ascii="仿宋_GB2312" w:eastAsia="仿宋_GB2312"/>
                <w:szCs w:val="21"/>
              </w:rPr>
              <w:t>（实际政府采购金额</w:t>
            </w:r>
            <w:r>
              <w:rPr>
                <w:rFonts w:ascii="仿宋_GB2312" w:eastAsia="仿宋_GB2312"/>
                <w:szCs w:val="21"/>
              </w:rPr>
              <w:t>/</w:t>
            </w:r>
            <w:r>
              <w:rPr>
                <w:rFonts w:hint="eastAsia" w:ascii="仿宋_GB2312" w:eastAsia="仿宋_GB2312"/>
                <w:szCs w:val="21"/>
              </w:rPr>
              <w:t>政府采购预算数）×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政府采购预算：采购机关根据事业发展计划和行政任务编制的、并经过规定程序批准的年度政府采购计划。</w:t>
            </w:r>
            <w:r>
              <w:rPr>
                <w:rFonts w:ascii="仿宋_GB2312" w:eastAsia="仿宋_GB2312"/>
                <w:szCs w:val="21"/>
              </w:rPr>
              <w:t xml:space="preserve"> </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p>
          <w:p>
            <w:pPr>
              <w:spacing w:line="320" w:lineRule="exact"/>
              <w:jc w:val="center"/>
              <w:rPr>
                <w:rFonts w:ascii="仿宋_GB2312" w:eastAsia="仿宋_GB2312"/>
                <w:szCs w:val="21"/>
              </w:rPr>
            </w:pPr>
            <w:r>
              <w:rPr>
                <w:rFonts w:hint="eastAsia" w:ascii="仿宋_GB2312" w:eastAsia="仿宋_GB2312"/>
                <w:szCs w:val="21"/>
              </w:rPr>
              <w:t>预算</w:t>
            </w:r>
          </w:p>
          <w:p>
            <w:pPr>
              <w:spacing w:line="320" w:lineRule="exact"/>
              <w:jc w:val="center"/>
              <w:rPr>
                <w:rFonts w:ascii="仿宋_GB2312" w:eastAsia="仿宋_GB2312"/>
                <w:szCs w:val="21"/>
              </w:rPr>
            </w:pPr>
            <w:r>
              <w:rPr>
                <w:rFonts w:hint="eastAsia" w:ascii="仿宋_GB2312" w:eastAsia="仿宋_GB2312"/>
                <w:szCs w:val="21"/>
              </w:rPr>
              <w:t>管理</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8</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管理制度</w:t>
            </w:r>
          </w:p>
          <w:p>
            <w:pPr>
              <w:spacing w:line="320" w:lineRule="exact"/>
              <w:jc w:val="center"/>
              <w:rPr>
                <w:rFonts w:ascii="仿宋_GB2312" w:eastAsia="仿宋_GB2312"/>
                <w:szCs w:val="21"/>
              </w:rPr>
            </w:pPr>
            <w:r>
              <w:rPr>
                <w:rFonts w:hint="eastAsia" w:ascii="仿宋_GB2312" w:eastAsia="仿宋_GB2312"/>
                <w:szCs w:val="21"/>
              </w:rPr>
              <w:t>健全性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w:t>
            </w:r>
            <w:r>
              <w:rPr>
                <w:rFonts w:hint="eastAsia" w:ascii="仿宋_GB2312" w:eastAsia="仿宋_GB2312"/>
                <w:szCs w:val="21"/>
              </w:rPr>
              <w:t>有内部财务管理制度，会计核算制度等管理制度，</w:t>
            </w:r>
            <w:r>
              <w:rPr>
                <w:rFonts w:ascii="仿宋_GB2312" w:eastAsia="仿宋_GB2312"/>
                <w:szCs w:val="21"/>
              </w:rPr>
              <w:t>0.5</w:t>
            </w:r>
            <w:r>
              <w:rPr>
                <w:rFonts w:hint="eastAsia" w:ascii="仿宋_GB2312" w:eastAsia="仿宋_GB2312"/>
                <w:szCs w:val="21"/>
              </w:rPr>
              <w:t>分；</w:t>
            </w:r>
            <w:r>
              <w:rPr>
                <w:rFonts w:ascii="仿宋_GB2312" w:eastAsia="仿宋_GB2312"/>
                <w:szCs w:val="21"/>
              </w:rPr>
              <w:t>2.</w:t>
            </w:r>
            <w:r>
              <w:rPr>
                <w:rFonts w:hint="eastAsia" w:ascii="仿宋_GB2312" w:eastAsia="仿宋_GB2312"/>
                <w:szCs w:val="21"/>
              </w:rPr>
              <w:t>有本部门厉行节约制度，</w:t>
            </w:r>
            <w:r>
              <w:rPr>
                <w:rFonts w:ascii="仿宋_GB2312" w:eastAsia="仿宋_GB2312"/>
                <w:szCs w:val="21"/>
              </w:rPr>
              <w:t>0.5</w:t>
            </w:r>
            <w:r>
              <w:rPr>
                <w:rFonts w:hint="eastAsia" w:ascii="仿宋_GB2312" w:eastAsia="仿宋_GB2312"/>
                <w:szCs w:val="21"/>
              </w:rPr>
              <w:t>分；</w:t>
            </w:r>
            <w:r>
              <w:rPr>
                <w:rFonts w:ascii="仿宋_GB2312" w:eastAsia="仿宋_GB2312"/>
                <w:szCs w:val="21"/>
              </w:rPr>
              <w:t>3.</w:t>
            </w:r>
            <w:r>
              <w:rPr>
                <w:rFonts w:hint="eastAsia" w:ascii="仿宋_GB2312" w:eastAsia="仿宋_GB2312"/>
                <w:szCs w:val="21"/>
              </w:rPr>
              <w:t>相关管理制度合法、合规、完整，</w:t>
            </w:r>
            <w:r>
              <w:rPr>
                <w:rFonts w:ascii="仿宋_GB2312" w:eastAsia="仿宋_GB2312"/>
                <w:szCs w:val="21"/>
              </w:rPr>
              <w:t>0.5</w:t>
            </w:r>
            <w:r>
              <w:rPr>
                <w:rFonts w:hint="eastAsia" w:ascii="仿宋_GB2312" w:eastAsia="仿宋_GB2312"/>
                <w:szCs w:val="21"/>
              </w:rPr>
              <w:t>分；</w:t>
            </w:r>
            <w:r>
              <w:rPr>
                <w:rFonts w:ascii="仿宋_GB2312" w:eastAsia="仿宋_GB2312"/>
                <w:szCs w:val="21"/>
              </w:rPr>
              <w:t>4.</w:t>
            </w:r>
            <w:r>
              <w:rPr>
                <w:rFonts w:hint="eastAsia" w:ascii="仿宋_GB2312" w:eastAsia="仿宋_GB2312"/>
                <w:szCs w:val="21"/>
              </w:rPr>
              <w:t>相关管理制度得到有效执行，</w:t>
            </w:r>
            <w:r>
              <w:rPr>
                <w:rFonts w:ascii="仿宋_GB2312" w:eastAsia="仿宋_GB2312"/>
                <w:szCs w:val="21"/>
              </w:rPr>
              <w:t>0.5</w:t>
            </w:r>
            <w:r>
              <w:rPr>
                <w:rFonts w:hint="eastAsia" w:ascii="仿宋_GB2312" w:eastAsia="仿宋_GB2312"/>
                <w:szCs w:val="21"/>
              </w:rPr>
              <w:t>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是否已制定或具有预算资金管理办法、内部财务管理制度、会计核算制度等管理制度；</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相关管理制度是否合法、合规、完整；</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相关管理制度是否得到有效执行。</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9"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资金使用</w:t>
            </w:r>
          </w:p>
          <w:p>
            <w:pPr>
              <w:spacing w:line="320" w:lineRule="exact"/>
              <w:jc w:val="center"/>
              <w:rPr>
                <w:rFonts w:ascii="仿宋_GB2312" w:eastAsia="仿宋_GB2312"/>
                <w:szCs w:val="21"/>
              </w:rPr>
            </w:pPr>
            <w:r>
              <w:rPr>
                <w:rFonts w:hint="eastAsia" w:ascii="仿宋_GB2312" w:eastAsia="仿宋_GB2312"/>
                <w:szCs w:val="21"/>
              </w:rPr>
              <w:t>合规性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spacing w:line="300" w:lineRule="exact"/>
              <w:rPr>
                <w:rFonts w:ascii="仿宋_GB2312" w:eastAsia="仿宋_GB2312"/>
                <w:szCs w:val="21"/>
              </w:rPr>
            </w:pPr>
            <w:r>
              <w:rPr>
                <w:rFonts w:ascii="仿宋_GB2312" w:eastAsia="仿宋_GB2312"/>
                <w:szCs w:val="21"/>
              </w:rPr>
              <w:t>1.</w:t>
            </w:r>
            <w:r>
              <w:rPr>
                <w:rFonts w:hint="eastAsia" w:ascii="仿宋_GB2312" w:eastAsia="仿宋_GB2312"/>
                <w:szCs w:val="21"/>
              </w:rPr>
              <w:t>支出符合国家财经法规和财务管理制度规定以及有关专项资金管理办法的规定；</w:t>
            </w:r>
            <w:r>
              <w:rPr>
                <w:rFonts w:ascii="仿宋_GB2312" w:eastAsia="仿宋_GB2312"/>
                <w:szCs w:val="21"/>
              </w:rPr>
              <w:t>2.</w:t>
            </w:r>
            <w:r>
              <w:rPr>
                <w:rFonts w:hint="eastAsia" w:ascii="仿宋_GB2312" w:eastAsia="仿宋_GB2312"/>
                <w:szCs w:val="21"/>
              </w:rPr>
              <w:t>资金拨付有完整的审批程序和手续；</w:t>
            </w:r>
            <w:r>
              <w:rPr>
                <w:rFonts w:ascii="仿宋_GB2312" w:eastAsia="仿宋_GB2312"/>
                <w:szCs w:val="21"/>
              </w:rPr>
              <w:t>3.</w:t>
            </w:r>
            <w:r>
              <w:rPr>
                <w:rFonts w:hint="eastAsia" w:ascii="仿宋_GB2312" w:eastAsia="仿宋_GB2312"/>
                <w:szCs w:val="21"/>
              </w:rPr>
              <w:t>项目支出按规定经过评估论证；</w:t>
            </w:r>
            <w:r>
              <w:rPr>
                <w:rFonts w:ascii="仿宋_GB2312" w:eastAsia="仿宋_GB2312"/>
                <w:szCs w:val="21"/>
              </w:rPr>
              <w:t>4.</w:t>
            </w:r>
            <w:r>
              <w:rPr>
                <w:rFonts w:hint="eastAsia" w:ascii="仿宋_GB2312" w:eastAsia="仿宋_GB2312"/>
                <w:szCs w:val="21"/>
              </w:rPr>
              <w:t>支出符合部门预算批复的用途；</w:t>
            </w:r>
            <w:r>
              <w:rPr>
                <w:rFonts w:ascii="仿宋_GB2312" w:eastAsia="仿宋_GB2312"/>
                <w:szCs w:val="21"/>
              </w:rPr>
              <w:t>5.</w:t>
            </w:r>
            <w:r>
              <w:rPr>
                <w:rFonts w:hint="eastAsia" w:ascii="仿宋_GB2312" w:eastAsia="仿宋_GB2312"/>
                <w:szCs w:val="21"/>
              </w:rPr>
              <w:t>资金使用无截留、挤占、挪用、虚列支出等情况。</w:t>
            </w:r>
          </w:p>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以上情况每出现一例不符合要求的扣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是否符合国家财经法规和财务管理制度规定以及有关预算支出管理办法的规定；</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资金的拨付是否有完整的审批程序和手续；</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预算支出的重大开支是否经过评估论证；</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是否符合部门预算批复的用途；</w:t>
            </w:r>
            <w:r>
              <w:rPr>
                <w:rFonts w:ascii="仿宋_GB2312" w:eastAsia="仿宋_GB2312"/>
                <w:szCs w:val="21"/>
              </w:rPr>
              <w:br w:type="textWrapping"/>
            </w:r>
            <w:r>
              <w:rPr>
                <w:rFonts w:hint="eastAsia" w:ascii="仿宋_GB2312" w:hAnsi="宋体" w:eastAsia="仿宋_GB2312" w:cs="宋体"/>
                <w:szCs w:val="21"/>
              </w:rPr>
              <w:t>⑤</w:t>
            </w:r>
            <w:r>
              <w:rPr>
                <w:rFonts w:hint="eastAsia" w:ascii="仿宋_GB2312" w:eastAsia="仿宋_GB2312"/>
                <w:szCs w:val="21"/>
              </w:rPr>
              <w:t>是否存在截留、挤占、挪用、虚列支出等情况。</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3"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预决算信</w:t>
            </w:r>
          </w:p>
          <w:p>
            <w:pPr>
              <w:spacing w:line="320" w:lineRule="exact"/>
              <w:jc w:val="center"/>
              <w:rPr>
                <w:rFonts w:ascii="仿宋_GB2312" w:eastAsia="仿宋_GB2312"/>
                <w:szCs w:val="21"/>
              </w:rPr>
            </w:pPr>
            <w:r>
              <w:rPr>
                <w:rFonts w:hint="eastAsia" w:ascii="仿宋_GB2312" w:eastAsia="仿宋_GB2312"/>
                <w:szCs w:val="21"/>
              </w:rPr>
              <w:t>息公开性（</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rPr>
                <w:rFonts w:ascii="仿宋_GB2312" w:eastAsia="仿宋_GB2312"/>
                <w:szCs w:val="21"/>
              </w:rPr>
            </w:pPr>
            <w:r>
              <w:rPr>
                <w:rFonts w:hint="eastAsia" w:ascii="仿宋_GB2312" w:eastAsia="仿宋_GB2312"/>
                <w:szCs w:val="21"/>
              </w:rPr>
              <w:t>部门预算、执行、决算、监督、绩效等管理相关的信息未公开，每一项扣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是否按规定内容公开预决算信息；</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是否按规定时限公开预决算信息。</w:t>
            </w:r>
            <w:r>
              <w:rPr>
                <w:rFonts w:ascii="仿宋_GB2312" w:eastAsia="仿宋_GB2312"/>
                <w:szCs w:val="21"/>
              </w:rPr>
              <w:br w:type="textWrapping"/>
            </w:r>
            <w:r>
              <w:rPr>
                <w:rFonts w:hint="eastAsia" w:ascii="仿宋_GB2312" w:eastAsia="仿宋_GB2312"/>
                <w:szCs w:val="21"/>
              </w:rPr>
              <w:t>预决算信息是指与部门预算、执行、决算、监督、绩效等管理相关的信息。</w:t>
            </w:r>
          </w:p>
        </w:tc>
        <w:tc>
          <w:tcPr>
            <w:tcW w:w="938" w:type="dxa"/>
            <w:vAlign w:val="center"/>
          </w:tcPr>
          <w:p>
            <w:pPr>
              <w:spacing w:line="320" w:lineRule="exact"/>
              <w:ind w:left="105" w:leftChars="50" w:right="105" w:rightChars="50"/>
              <w:jc w:val="center"/>
              <w:rPr>
                <w:rFonts w:ascii="仿宋_GB2312" w:eastAsia="仿宋_GB2312"/>
                <w:szCs w:val="21"/>
              </w:rPr>
            </w:pPr>
            <w:r>
              <w:rPr>
                <w:rFonts w:ascii="仿宋_GB2312"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2" w:hRule="atLeast"/>
          <w:jc w:val="center"/>
        </w:trPr>
        <w:tc>
          <w:tcPr>
            <w:tcW w:w="6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过</w:t>
            </w:r>
          </w:p>
          <w:p>
            <w:pPr>
              <w:spacing w:line="320" w:lineRule="exact"/>
              <w:jc w:val="center"/>
              <w:rPr>
                <w:rFonts w:ascii="仿宋_GB2312" w:eastAsia="仿宋_GB2312"/>
                <w:szCs w:val="21"/>
              </w:rPr>
            </w:pPr>
            <w:r>
              <w:rPr>
                <w:rFonts w:hint="eastAsia" w:ascii="仿宋_GB2312" w:eastAsia="仿宋_GB2312"/>
                <w:szCs w:val="21"/>
              </w:rPr>
              <w:t>程</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40</w:t>
            </w:r>
            <w:r>
              <w:rPr>
                <w:rFonts w:hint="eastAsia" w:ascii="仿宋_GB2312" w:eastAsia="仿宋_GB2312"/>
                <w:szCs w:val="21"/>
              </w:rPr>
              <w:t>分）</w:t>
            </w:r>
          </w:p>
        </w:tc>
        <w:tc>
          <w:tcPr>
            <w:tcW w:w="866" w:type="dxa"/>
            <w:vAlign w:val="center"/>
          </w:tcPr>
          <w:p>
            <w:pPr>
              <w:spacing w:line="320" w:lineRule="exact"/>
              <w:jc w:val="center"/>
              <w:rPr>
                <w:rFonts w:ascii="仿宋_GB2312" w:eastAsia="仿宋_GB2312"/>
                <w:szCs w:val="21"/>
              </w:rPr>
            </w:pPr>
            <w:r>
              <w:rPr>
                <w:rFonts w:hint="eastAsia" w:ascii="仿宋_GB2312" w:eastAsia="仿宋_GB2312"/>
                <w:szCs w:val="21"/>
              </w:rPr>
              <w:t>预算</w:t>
            </w:r>
          </w:p>
          <w:p>
            <w:pPr>
              <w:spacing w:line="320" w:lineRule="exact"/>
              <w:jc w:val="center"/>
              <w:rPr>
                <w:rFonts w:ascii="仿宋_GB2312" w:eastAsia="仿宋_GB2312"/>
                <w:szCs w:val="21"/>
              </w:rPr>
            </w:pPr>
            <w:r>
              <w:rPr>
                <w:rFonts w:hint="eastAsia" w:ascii="仿宋_GB2312" w:eastAsia="仿宋_GB2312"/>
                <w:szCs w:val="21"/>
              </w:rPr>
              <w:t>管理</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8</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基础信息</w:t>
            </w:r>
          </w:p>
          <w:p>
            <w:pPr>
              <w:spacing w:line="320" w:lineRule="exact"/>
              <w:jc w:val="center"/>
              <w:rPr>
                <w:rFonts w:ascii="仿宋_GB2312" w:eastAsia="仿宋_GB2312"/>
                <w:szCs w:val="21"/>
              </w:rPr>
            </w:pPr>
            <w:r>
              <w:rPr>
                <w:rFonts w:hint="eastAsia" w:ascii="仿宋_GB2312" w:eastAsia="仿宋_GB2312"/>
                <w:szCs w:val="21"/>
              </w:rPr>
              <w:t>完善性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部门基础信息是否完善，缺一项扣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基础数据信息和会计信息资料是否真实；</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基础数据信息和会计信息资料是否完整；</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基础数据信息和会计信息资料是否准确。</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9" w:hRule="atLeast"/>
          <w:jc w:val="center"/>
        </w:trPr>
        <w:tc>
          <w:tcPr>
            <w:tcW w:w="666"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szCs w:val="21"/>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资产</w:t>
            </w:r>
            <w:r>
              <w:rPr>
                <w:rFonts w:ascii="仿宋_GB2312" w:eastAsia="仿宋_GB2312"/>
                <w:szCs w:val="21"/>
              </w:rPr>
              <w:br w:type="textWrapping"/>
            </w:r>
            <w:r>
              <w:rPr>
                <w:rFonts w:hint="eastAsia" w:ascii="仿宋_GB2312" w:eastAsia="仿宋_GB2312"/>
                <w:szCs w:val="21"/>
              </w:rPr>
              <w:t>管理</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6</w:t>
            </w:r>
            <w:r>
              <w:rPr>
                <w:rFonts w:hint="eastAsia" w:ascii="仿宋_GB2312" w:eastAsia="仿宋_GB2312"/>
                <w:szCs w:val="21"/>
              </w:rPr>
              <w:t>分）</w:t>
            </w:r>
          </w:p>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管理制度</w:t>
            </w:r>
          </w:p>
          <w:p>
            <w:pPr>
              <w:spacing w:line="320" w:lineRule="exact"/>
              <w:jc w:val="center"/>
              <w:rPr>
                <w:rFonts w:ascii="仿宋_GB2312" w:eastAsia="仿宋_GB2312"/>
                <w:szCs w:val="21"/>
              </w:rPr>
            </w:pPr>
            <w:r>
              <w:rPr>
                <w:rFonts w:hint="eastAsia" w:ascii="仿宋_GB2312" w:eastAsia="仿宋_GB2312"/>
                <w:szCs w:val="21"/>
              </w:rPr>
              <w:t>健全性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部门有加强资产管理、规范资产管理行为而制定的管理制度的计</w:t>
            </w:r>
            <w:r>
              <w:rPr>
                <w:rFonts w:ascii="仿宋_GB2312" w:eastAsia="仿宋_GB2312"/>
                <w:szCs w:val="21"/>
              </w:rPr>
              <w:t>1</w:t>
            </w:r>
            <w:r>
              <w:rPr>
                <w:rFonts w:hint="eastAsia" w:ascii="仿宋_GB2312" w:eastAsia="仿宋_GB2312"/>
                <w:szCs w:val="21"/>
              </w:rPr>
              <w:t>分；有效执行相关文件的计</w:t>
            </w:r>
            <w:r>
              <w:rPr>
                <w:rFonts w:ascii="仿宋_GB2312" w:eastAsia="仿宋_GB2312"/>
                <w:szCs w:val="21"/>
              </w:rPr>
              <w:t>1</w:t>
            </w:r>
            <w:r>
              <w:rPr>
                <w:rFonts w:hint="eastAsia" w:ascii="仿宋_GB2312" w:eastAsia="仿宋_GB2312"/>
                <w:szCs w:val="21"/>
              </w:rPr>
              <w:t>分。反之不计分。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是否已制定或具有资产管理制度；</w:t>
            </w:r>
            <w:r>
              <w:rPr>
                <w:rFonts w:ascii="仿宋_GB2312" w:eastAsia="仿宋_GB2312"/>
                <w:szCs w:val="21"/>
              </w:rPr>
              <w:t xml:space="preserve">           </w:t>
            </w:r>
            <w:r>
              <w:rPr>
                <w:rFonts w:hint="eastAsia" w:ascii="仿宋_GB2312" w:hAnsi="宋体" w:eastAsia="仿宋_GB2312" w:cs="宋体"/>
                <w:szCs w:val="21"/>
              </w:rPr>
              <w:t>②</w:t>
            </w:r>
            <w:r>
              <w:rPr>
                <w:rFonts w:hint="eastAsia" w:ascii="仿宋_GB2312" w:eastAsia="仿宋_GB2312"/>
                <w:szCs w:val="21"/>
              </w:rPr>
              <w:t>相关资金管理制度是否合法、合规、完整；</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相关资产管理制度是否得到有效执行。</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666" w:type="dxa"/>
            <w:vMerge w:val="continue"/>
            <w:vAlign w:val="center"/>
          </w:tcPr>
          <w:p>
            <w:pPr>
              <w:spacing w:line="320" w:lineRule="exact"/>
              <w:jc w:val="center"/>
              <w:rPr>
                <w:rFonts w:ascii="仿宋_GB2312" w:eastAsia="仿宋_GB2312"/>
                <w:szCs w:val="21"/>
              </w:rPr>
            </w:pPr>
          </w:p>
        </w:tc>
        <w:tc>
          <w:tcPr>
            <w:tcW w:w="866" w:type="dxa"/>
            <w:vMerge w:val="continue"/>
            <w:vAlign w:val="center"/>
          </w:tcPr>
          <w:p>
            <w:pPr>
              <w:spacing w:line="320" w:lineRule="exact"/>
              <w:jc w:val="center"/>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资产管理</w:t>
            </w:r>
          </w:p>
          <w:p>
            <w:pPr>
              <w:spacing w:line="320" w:lineRule="exact"/>
              <w:jc w:val="center"/>
              <w:rPr>
                <w:rFonts w:ascii="仿宋_GB2312" w:eastAsia="仿宋_GB2312"/>
                <w:szCs w:val="21"/>
              </w:rPr>
            </w:pPr>
            <w:r>
              <w:rPr>
                <w:rFonts w:hint="eastAsia" w:ascii="仿宋_GB2312" w:eastAsia="仿宋_GB2312"/>
                <w:szCs w:val="21"/>
              </w:rPr>
              <w:t>安全性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761"/>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部门的资产是否保存完整、使用合规、配置合理、处置规范、收入及时足额上缴计满分，每一项不达标扣</w:t>
            </w:r>
            <w:r>
              <w:rPr>
                <w:rFonts w:ascii="仿宋_GB2312" w:eastAsia="仿宋_GB2312"/>
                <w:szCs w:val="21"/>
              </w:rPr>
              <w:t>0.5</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资产保存是否完整；</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资产配置是否合理；</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资产处置是否规范；</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资产账务管理是否合规，是否帐实相符；</w:t>
            </w:r>
            <w:r>
              <w:rPr>
                <w:rFonts w:ascii="仿宋_GB2312" w:eastAsia="仿宋_GB2312"/>
                <w:szCs w:val="21"/>
              </w:rPr>
              <w:br w:type="textWrapping"/>
            </w:r>
            <w:r>
              <w:rPr>
                <w:rFonts w:hint="eastAsia" w:ascii="仿宋_GB2312" w:hAnsi="宋体" w:eastAsia="仿宋_GB2312" w:cs="宋体"/>
                <w:szCs w:val="21"/>
              </w:rPr>
              <w:t>⑤</w:t>
            </w:r>
            <w:r>
              <w:rPr>
                <w:rFonts w:hint="eastAsia" w:ascii="仿宋_GB2312" w:eastAsia="仿宋_GB2312"/>
                <w:szCs w:val="21"/>
              </w:rPr>
              <w:t>资产是否有偿使用及处置收入及时足额上缴。</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固定资产</w:t>
            </w:r>
          </w:p>
          <w:p>
            <w:pPr>
              <w:spacing w:line="320" w:lineRule="exact"/>
              <w:jc w:val="center"/>
              <w:rPr>
                <w:rFonts w:ascii="仿宋_GB2312" w:eastAsia="仿宋_GB2312"/>
                <w:szCs w:val="21"/>
              </w:rPr>
            </w:pPr>
            <w:r>
              <w:rPr>
                <w:rFonts w:hint="eastAsia" w:ascii="仿宋_GB2312" w:eastAsia="仿宋_GB2312"/>
                <w:szCs w:val="21"/>
              </w:rPr>
              <w:t>利用率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计满分，每降低</w:t>
            </w:r>
            <w:r>
              <w:rPr>
                <w:rFonts w:ascii="仿宋_GB2312" w:eastAsia="仿宋_GB2312"/>
                <w:szCs w:val="21"/>
              </w:rPr>
              <w:t>5%</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固定资产利用率</w:t>
            </w:r>
            <w:r>
              <w:rPr>
                <w:rFonts w:ascii="仿宋_GB2312" w:eastAsia="仿宋_GB2312"/>
                <w:szCs w:val="21"/>
              </w:rPr>
              <w:t>=</w:t>
            </w:r>
            <w:r>
              <w:rPr>
                <w:rFonts w:hint="eastAsia" w:ascii="仿宋_GB2312" w:eastAsia="仿宋_GB2312"/>
                <w:szCs w:val="21"/>
              </w:rPr>
              <w:t>（实际在用固定资产总额</w:t>
            </w:r>
            <w:r>
              <w:rPr>
                <w:rFonts w:ascii="仿宋_GB2312" w:eastAsia="仿宋_GB2312"/>
                <w:szCs w:val="21"/>
              </w:rPr>
              <w:t>/</w:t>
            </w:r>
            <w:r>
              <w:rPr>
                <w:rFonts w:hint="eastAsia" w:ascii="仿宋_GB2312" w:eastAsia="仿宋_GB2312"/>
                <w:szCs w:val="21"/>
              </w:rPr>
              <w:t>所有固定资产总额）×</w:t>
            </w:r>
            <w:r>
              <w:rPr>
                <w:rFonts w:ascii="仿宋_GB2312" w:eastAsia="仿宋_GB2312"/>
                <w:szCs w:val="21"/>
              </w:rPr>
              <w:t>100%</w:t>
            </w:r>
            <w:r>
              <w:rPr>
                <w:rFonts w:hint="eastAsia" w:ascii="仿宋_GB2312" w:eastAsia="仿宋_GB2312"/>
                <w:szCs w:val="21"/>
              </w:rPr>
              <w:t>。</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jc w:val="center"/>
        </w:trPr>
        <w:tc>
          <w:tcPr>
            <w:tcW w:w="666" w:type="dxa"/>
            <w:noWrap/>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产出（</w:t>
            </w:r>
            <w:r>
              <w:rPr>
                <w:rFonts w:ascii="仿宋_GB2312" w:eastAsia="仿宋_GB2312"/>
                <w:szCs w:val="21"/>
              </w:rPr>
              <w:t>20</w:t>
            </w:r>
            <w:r>
              <w:rPr>
                <w:rFonts w:hint="eastAsia" w:ascii="仿宋_GB2312" w:eastAsia="仿宋_GB2312"/>
                <w:szCs w:val="21"/>
              </w:rPr>
              <w:t>分）</w:t>
            </w:r>
          </w:p>
        </w:tc>
        <w:tc>
          <w:tcPr>
            <w:tcW w:w="866"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职责</w:t>
            </w:r>
            <w:r>
              <w:rPr>
                <w:rFonts w:ascii="仿宋_GB2312" w:eastAsia="仿宋_GB2312"/>
                <w:szCs w:val="21"/>
              </w:rPr>
              <w:br w:type="textWrapping"/>
            </w:r>
            <w:r>
              <w:rPr>
                <w:rFonts w:hint="eastAsia" w:ascii="仿宋_GB2312" w:eastAsia="仿宋_GB2312"/>
                <w:szCs w:val="21"/>
              </w:rPr>
              <w:t>履行</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实际</w:t>
            </w:r>
          </w:p>
          <w:p>
            <w:pPr>
              <w:spacing w:line="320" w:lineRule="exact"/>
              <w:jc w:val="center"/>
              <w:rPr>
                <w:rFonts w:ascii="仿宋_GB2312" w:eastAsia="仿宋_GB2312"/>
                <w:szCs w:val="21"/>
              </w:rPr>
            </w:pPr>
            <w:r>
              <w:rPr>
                <w:rFonts w:hint="eastAsia" w:ascii="仿宋_GB2312" w:eastAsia="仿宋_GB2312"/>
                <w:szCs w:val="21"/>
              </w:rPr>
              <w:t>完成率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计满分，每超过</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实际完成率</w:t>
            </w:r>
            <w:r>
              <w:rPr>
                <w:rFonts w:ascii="仿宋_GB2312" w:eastAsia="仿宋_GB2312"/>
                <w:szCs w:val="21"/>
              </w:rPr>
              <w:t>=</w:t>
            </w:r>
            <w:r>
              <w:rPr>
                <w:rFonts w:hint="eastAsia" w:ascii="仿宋_GB2312" w:eastAsia="仿宋_GB2312"/>
                <w:szCs w:val="21"/>
              </w:rPr>
              <w:t>（实际完成工作数</w:t>
            </w:r>
            <w:r>
              <w:rPr>
                <w:rFonts w:ascii="仿宋_GB2312" w:eastAsia="仿宋_GB2312"/>
                <w:szCs w:val="21"/>
              </w:rPr>
              <w:t>/</w:t>
            </w:r>
            <w:r>
              <w:rPr>
                <w:rFonts w:hint="eastAsia" w:ascii="仿宋_GB2312" w:eastAsia="仿宋_GB2312"/>
                <w:szCs w:val="21"/>
              </w:rPr>
              <w:t>计划工作数）×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实际完成工作数：一定时期（年度或规划期）内部门实际完成工作任务的数量。</w:t>
            </w:r>
            <w:r>
              <w:rPr>
                <w:rFonts w:ascii="仿宋_GB2312" w:eastAsia="仿宋_GB2312"/>
                <w:szCs w:val="21"/>
              </w:rPr>
              <w:br w:type="textWrapping"/>
            </w:r>
            <w:r>
              <w:rPr>
                <w:rFonts w:hint="eastAsia" w:ascii="仿宋_GB2312" w:eastAsia="仿宋_GB2312"/>
                <w:szCs w:val="21"/>
              </w:rPr>
              <w:t>计划工作数：部门整体绩效目标确定的一定时期（年度或规划期）内预计完成工作任务的数量。</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6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产</w:t>
            </w:r>
          </w:p>
          <w:p>
            <w:pPr>
              <w:spacing w:line="320" w:lineRule="exact"/>
              <w:jc w:val="center"/>
              <w:rPr>
                <w:rFonts w:ascii="仿宋_GB2312" w:eastAsia="仿宋_GB2312"/>
                <w:szCs w:val="21"/>
              </w:rPr>
            </w:pPr>
            <w:r>
              <w:rPr>
                <w:rFonts w:hint="eastAsia" w:ascii="仿宋_GB2312" w:eastAsia="仿宋_GB2312"/>
                <w:szCs w:val="21"/>
              </w:rPr>
              <w:t>出</w:t>
            </w:r>
          </w:p>
          <w:p>
            <w:pPr>
              <w:spacing w:line="320" w:lineRule="exact"/>
              <w:jc w:val="center"/>
              <w:rPr>
                <w:rFonts w:ascii="仿宋_GB2312" w:eastAsia="仿宋_GB2312"/>
                <w:szCs w:val="21"/>
              </w:rPr>
            </w:pP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866" w:type="dxa"/>
            <w:vMerge w:val="restart"/>
            <w:vAlign w:val="center"/>
          </w:tcPr>
          <w:p>
            <w:pPr>
              <w:spacing w:line="320" w:lineRule="exact"/>
              <w:jc w:val="center"/>
              <w:rPr>
                <w:rFonts w:ascii="仿宋_GB2312" w:eastAsia="仿宋_GB2312"/>
                <w:szCs w:val="21"/>
              </w:rPr>
            </w:pPr>
            <w:r>
              <w:rPr>
                <w:rFonts w:hint="eastAsia" w:ascii="仿宋_GB2312" w:eastAsia="仿宋_GB2312"/>
                <w:szCs w:val="21"/>
              </w:rPr>
              <w:t>职责</w:t>
            </w:r>
            <w:r>
              <w:rPr>
                <w:rFonts w:ascii="仿宋_GB2312" w:eastAsia="仿宋_GB2312"/>
                <w:szCs w:val="21"/>
              </w:rPr>
              <w:br w:type="textWrapping"/>
            </w:r>
            <w:r>
              <w:rPr>
                <w:rFonts w:hint="eastAsia" w:ascii="仿宋_GB2312" w:eastAsia="仿宋_GB2312"/>
                <w:szCs w:val="21"/>
              </w:rPr>
              <w:t>履行</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完成</w:t>
            </w:r>
          </w:p>
          <w:p>
            <w:pPr>
              <w:spacing w:line="320" w:lineRule="exact"/>
              <w:jc w:val="center"/>
              <w:rPr>
                <w:rFonts w:ascii="仿宋_GB2312" w:eastAsia="仿宋_GB2312"/>
                <w:szCs w:val="21"/>
              </w:rPr>
            </w:pPr>
            <w:r>
              <w:rPr>
                <w:rFonts w:hint="eastAsia" w:ascii="仿宋_GB2312" w:eastAsia="仿宋_GB2312"/>
                <w:szCs w:val="21"/>
              </w:rPr>
              <w:t>及时率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以下（含）计满分，每超出</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完成及时率</w:t>
            </w:r>
            <w:r>
              <w:rPr>
                <w:rFonts w:ascii="仿宋_GB2312" w:eastAsia="仿宋_GB2312"/>
                <w:szCs w:val="21"/>
              </w:rPr>
              <w:t>=</w:t>
            </w:r>
            <w:r>
              <w:rPr>
                <w:rFonts w:hint="eastAsia" w:ascii="仿宋_GB2312" w:eastAsia="仿宋_GB2312"/>
                <w:szCs w:val="21"/>
              </w:rPr>
              <w:t>（及时完成实际工作数</w:t>
            </w:r>
            <w:r>
              <w:rPr>
                <w:rFonts w:ascii="仿宋_GB2312" w:eastAsia="仿宋_GB2312"/>
                <w:szCs w:val="21"/>
              </w:rPr>
              <w:t>/</w:t>
            </w:r>
            <w:r>
              <w:rPr>
                <w:rFonts w:hint="eastAsia" w:ascii="仿宋_GB2312" w:eastAsia="仿宋_GB2312"/>
                <w:szCs w:val="21"/>
              </w:rPr>
              <w:t>计划工作数）×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及时完成实际工作数：部门按照整体绩效目标确定的时限实际完成的工作任务数量。</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质量</w:t>
            </w:r>
          </w:p>
          <w:p>
            <w:pPr>
              <w:spacing w:line="320" w:lineRule="exact"/>
              <w:jc w:val="center"/>
              <w:rPr>
                <w:rFonts w:ascii="仿宋_GB2312" w:eastAsia="仿宋_GB2312"/>
                <w:szCs w:val="21"/>
              </w:rPr>
            </w:pPr>
            <w:r>
              <w:rPr>
                <w:rFonts w:hint="eastAsia" w:ascii="仿宋_GB2312" w:eastAsia="仿宋_GB2312"/>
                <w:szCs w:val="21"/>
              </w:rPr>
              <w:t>达标率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计满分，每超过</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质量达标率</w:t>
            </w:r>
            <w:r>
              <w:rPr>
                <w:rFonts w:ascii="仿宋_GB2312" w:eastAsia="仿宋_GB2312"/>
                <w:szCs w:val="21"/>
              </w:rPr>
              <w:t>=</w:t>
            </w:r>
            <w:r>
              <w:rPr>
                <w:rFonts w:hint="eastAsia" w:ascii="仿宋_GB2312" w:eastAsia="仿宋_GB2312"/>
                <w:szCs w:val="21"/>
              </w:rPr>
              <w:t>（质量达标实际工作数</w:t>
            </w:r>
            <w:r>
              <w:rPr>
                <w:rFonts w:ascii="仿宋_GB2312" w:eastAsia="仿宋_GB2312"/>
                <w:szCs w:val="21"/>
              </w:rPr>
              <w:t>/</w:t>
            </w:r>
            <w:r>
              <w:rPr>
                <w:rFonts w:hint="eastAsia" w:ascii="仿宋_GB2312" w:eastAsia="仿宋_GB2312"/>
                <w:szCs w:val="21"/>
              </w:rPr>
              <w:t>计划工作数）×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质量达标实际工作数：一定时期（年度或规划期）内部门实际完成工作数中达到部门绩效目标要求（绩效标准值）的工作任务数量。</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重点工作</w:t>
            </w:r>
          </w:p>
          <w:p>
            <w:pPr>
              <w:spacing w:line="320" w:lineRule="exact"/>
              <w:jc w:val="center"/>
              <w:rPr>
                <w:rFonts w:ascii="仿宋_GB2312" w:eastAsia="仿宋_GB2312"/>
                <w:szCs w:val="21"/>
              </w:rPr>
            </w:pPr>
            <w:r>
              <w:rPr>
                <w:rFonts w:hint="eastAsia" w:ascii="仿宋_GB2312" w:eastAsia="仿宋_GB2312"/>
                <w:szCs w:val="21"/>
              </w:rPr>
              <w:t>办结率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根据绩效办</w:t>
            </w:r>
            <w:r>
              <w:rPr>
                <w:rFonts w:ascii="仿宋_GB2312" w:eastAsia="仿宋_GB2312"/>
                <w:szCs w:val="21"/>
              </w:rPr>
              <w:t>2019</w:t>
            </w:r>
            <w:r>
              <w:rPr>
                <w:rFonts w:hint="eastAsia" w:ascii="仿宋_GB2312" w:eastAsia="仿宋_GB2312"/>
                <w:szCs w:val="21"/>
              </w:rPr>
              <w:t>年对各部门为民办实事和部门重点工程与重点工作考核分数折算。该项得分</w:t>
            </w:r>
            <w:r>
              <w:rPr>
                <w:rFonts w:ascii="仿宋_GB2312" w:eastAsia="仿宋_GB2312"/>
                <w:szCs w:val="21"/>
              </w:rPr>
              <w:t>=</w:t>
            </w:r>
            <w:r>
              <w:rPr>
                <w:rFonts w:hint="eastAsia" w:ascii="仿宋_GB2312" w:eastAsia="仿宋_GB2312"/>
                <w:szCs w:val="21"/>
              </w:rPr>
              <w:t>（绩效办对应部分考核得分）</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重点工作办结率</w:t>
            </w:r>
            <w:r>
              <w:rPr>
                <w:rFonts w:ascii="仿宋_GB2312" w:eastAsia="仿宋_GB2312"/>
                <w:szCs w:val="21"/>
              </w:rPr>
              <w:t>=</w:t>
            </w:r>
            <w:r>
              <w:rPr>
                <w:rFonts w:hint="eastAsia" w:ascii="仿宋_GB2312" w:eastAsia="仿宋_GB2312"/>
                <w:szCs w:val="21"/>
              </w:rPr>
              <w:t>（重点工作实际完成数</w:t>
            </w:r>
            <w:r>
              <w:rPr>
                <w:rFonts w:ascii="仿宋_GB2312" w:eastAsia="仿宋_GB2312"/>
                <w:szCs w:val="21"/>
              </w:rPr>
              <w:t>/</w:t>
            </w:r>
            <w:r>
              <w:rPr>
                <w:rFonts w:hint="eastAsia" w:ascii="仿宋_GB2312" w:eastAsia="仿宋_GB2312"/>
                <w:szCs w:val="21"/>
              </w:rPr>
              <w:t>交办或下达数）×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重点工作是指党委、政府、人大、相关部门交办或下达的工作任务。</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效</w:t>
            </w:r>
          </w:p>
          <w:p>
            <w:pPr>
              <w:spacing w:line="320" w:lineRule="exact"/>
              <w:jc w:val="center"/>
              <w:rPr>
                <w:rFonts w:ascii="仿宋_GB2312" w:eastAsia="仿宋_GB2312"/>
                <w:szCs w:val="21"/>
              </w:rPr>
            </w:pPr>
            <w:r>
              <w:rPr>
                <w:rFonts w:hint="eastAsia" w:ascii="仿宋_GB2312" w:eastAsia="仿宋_GB2312"/>
                <w:szCs w:val="21"/>
              </w:rPr>
              <w:t>果</w:t>
            </w:r>
          </w:p>
          <w:p>
            <w:pPr>
              <w:spacing w:line="320" w:lineRule="exact"/>
              <w:jc w:val="center"/>
              <w:rPr>
                <w:rFonts w:ascii="仿宋_GB2312" w:eastAsia="仿宋_GB2312"/>
                <w:szCs w:val="21"/>
              </w:rPr>
            </w:pP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履职</w:t>
            </w:r>
            <w:r>
              <w:rPr>
                <w:rFonts w:ascii="仿宋_GB2312" w:eastAsia="仿宋_GB2312"/>
                <w:szCs w:val="21"/>
              </w:rPr>
              <w:br w:type="textWrapping"/>
            </w:r>
            <w:r>
              <w:rPr>
                <w:rFonts w:hint="eastAsia" w:ascii="仿宋_GB2312" w:eastAsia="仿宋_GB2312"/>
                <w:szCs w:val="21"/>
              </w:rPr>
              <w:t>效益</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分）</w:t>
            </w: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经济效益（</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部门履行职责对经济发展所带来的直接或间接影响。</w:t>
            </w:r>
          </w:p>
        </w:tc>
        <w:tc>
          <w:tcPr>
            <w:tcW w:w="4252" w:type="dxa"/>
            <w:vMerge w:val="restart"/>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此三项指标为设置部门整体支出绩效评价指标时必须考虑的共性要素，可根据部门实际并结合部门整体支出绩效目标设立情况有选择的进行设置，并将其细化为相应的个性化指标。</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社会效益（</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部门履行职责对社会发展所带来的直接或间接影响。</w:t>
            </w:r>
          </w:p>
        </w:tc>
        <w:tc>
          <w:tcPr>
            <w:tcW w:w="4252" w:type="dxa"/>
            <w:vMerge w:val="continue"/>
            <w:vAlign w:val="center"/>
          </w:tcPr>
          <w:p>
            <w:pPr>
              <w:spacing w:line="320" w:lineRule="exact"/>
              <w:ind w:left="105" w:leftChars="50" w:right="105" w:rightChars="50"/>
              <w:rPr>
                <w:rFonts w:ascii="仿宋_GB2312" w:eastAsia="仿宋_GB2312"/>
                <w:szCs w:val="21"/>
              </w:rPr>
            </w:pP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生态效益（</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部门履行职责对生态环境所带来的直接或间接影响。</w:t>
            </w:r>
          </w:p>
        </w:tc>
        <w:tc>
          <w:tcPr>
            <w:tcW w:w="4252" w:type="dxa"/>
            <w:vMerge w:val="continue"/>
            <w:vAlign w:val="center"/>
          </w:tcPr>
          <w:p>
            <w:pPr>
              <w:spacing w:line="320" w:lineRule="exact"/>
              <w:ind w:left="105" w:leftChars="50" w:right="105" w:rightChars="50"/>
              <w:rPr>
                <w:rFonts w:ascii="仿宋_GB2312" w:eastAsia="仿宋_GB2312"/>
                <w:szCs w:val="21"/>
              </w:rPr>
            </w:pP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666" w:type="dxa"/>
            <w:vMerge w:val="continue"/>
            <w:vAlign w:val="center"/>
          </w:tcPr>
          <w:p>
            <w:pPr>
              <w:spacing w:line="320" w:lineRule="exact"/>
              <w:rPr>
                <w:rFonts w:ascii="仿宋_GB2312" w:eastAsia="仿宋_GB2312"/>
                <w:szCs w:val="21"/>
              </w:rPr>
            </w:pPr>
          </w:p>
        </w:tc>
        <w:tc>
          <w:tcPr>
            <w:tcW w:w="866" w:type="dxa"/>
            <w:vMerge w:val="continue"/>
            <w:vAlign w:val="center"/>
          </w:tcPr>
          <w:p>
            <w:pPr>
              <w:spacing w:line="320" w:lineRule="exact"/>
              <w:rPr>
                <w:rFonts w:ascii="仿宋_GB2312" w:eastAsia="仿宋_GB2312"/>
                <w:szCs w:val="21"/>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szCs w:val="21"/>
              </w:rPr>
            </w:pPr>
            <w:r>
              <w:rPr>
                <w:rFonts w:hint="eastAsia" w:ascii="仿宋_GB2312" w:eastAsia="仿宋_GB2312"/>
                <w:szCs w:val="21"/>
              </w:rPr>
              <w:t>社会公众</w:t>
            </w:r>
          </w:p>
          <w:p>
            <w:pPr>
              <w:spacing w:line="320" w:lineRule="exact"/>
              <w:jc w:val="center"/>
              <w:rPr>
                <w:rFonts w:ascii="仿宋_GB2312" w:eastAsia="仿宋_GB2312"/>
                <w:szCs w:val="21"/>
              </w:rPr>
            </w:pPr>
            <w:r>
              <w:rPr>
                <w:rFonts w:hint="eastAsia" w:ascii="仿宋_GB2312" w:eastAsia="仿宋_GB2312"/>
                <w:szCs w:val="21"/>
              </w:rPr>
              <w:t>或服务对</w:t>
            </w:r>
          </w:p>
          <w:p>
            <w:pPr>
              <w:spacing w:line="320" w:lineRule="exact"/>
              <w:jc w:val="center"/>
              <w:rPr>
                <w:rFonts w:ascii="仿宋_GB2312" w:eastAsia="仿宋_GB2312"/>
                <w:szCs w:val="21"/>
              </w:rPr>
            </w:pPr>
            <w:r>
              <w:rPr>
                <w:rFonts w:hint="eastAsia" w:ascii="仿宋_GB2312" w:eastAsia="仿宋_GB2312"/>
                <w:szCs w:val="21"/>
              </w:rPr>
              <w:t>象满意度（</w:t>
            </w:r>
            <w:r>
              <w:rPr>
                <w:rFonts w:ascii="仿宋_GB2312" w:eastAsia="仿宋_GB2312"/>
                <w:szCs w:val="21"/>
              </w:rPr>
              <w:t>5</w:t>
            </w:r>
            <w:r>
              <w:rPr>
                <w:rFonts w:hint="eastAsia" w:ascii="仿宋_GB2312" w:eastAsia="仿宋_GB2312"/>
                <w:szCs w:val="21"/>
              </w:rPr>
              <w:t>分）</w:t>
            </w:r>
          </w:p>
        </w:tc>
        <w:tc>
          <w:tcPr>
            <w:tcW w:w="2908"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hint="eastAsia" w:ascii="仿宋_GB2312" w:eastAsia="仿宋_GB2312"/>
                <w:szCs w:val="21"/>
              </w:rPr>
              <w:t>社会公众或部门的服务对象对部门履职效果的满意程度。</w:t>
            </w:r>
          </w:p>
        </w:tc>
        <w:tc>
          <w:tcPr>
            <w:tcW w:w="425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szCs w:val="21"/>
              </w:rPr>
            </w:pPr>
            <w:r>
              <w:rPr>
                <w:rFonts w:hint="eastAsia" w:ascii="仿宋_GB2312" w:eastAsia="仿宋_GB2312"/>
                <w:szCs w:val="21"/>
              </w:rPr>
              <w:t>社会公众或服务对象是指部门履行职责而影响到的部门、群体或个人。一般采取社会调查的方式。</w:t>
            </w:r>
          </w:p>
        </w:tc>
        <w:tc>
          <w:tcPr>
            <w:tcW w:w="938" w:type="dxa"/>
            <w:vAlign w:val="center"/>
          </w:tcPr>
          <w:p>
            <w:pPr>
              <w:spacing w:line="32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9643" w:type="dxa"/>
            <w:gridSpan w:val="5"/>
            <w:vAlign w:val="center"/>
          </w:tcPr>
          <w:p>
            <w:pPr>
              <w:spacing w:line="320" w:lineRule="exact"/>
              <w:ind w:left="105" w:leftChars="50" w:right="105" w:rightChars="50"/>
              <w:jc w:val="center"/>
              <w:rPr>
                <w:rFonts w:hint="eastAsia" w:ascii="仿宋_GB2312" w:eastAsia="仿宋_GB2312"/>
                <w:szCs w:val="21"/>
                <w:lang w:eastAsia="zh-CN"/>
              </w:rPr>
            </w:pPr>
            <w:r>
              <w:rPr>
                <w:rFonts w:hint="eastAsia" w:ascii="仿宋_GB2312" w:eastAsia="仿宋_GB2312"/>
                <w:szCs w:val="21"/>
                <w:lang w:eastAsia="zh-CN"/>
              </w:rPr>
              <w:t>合计</w:t>
            </w:r>
          </w:p>
        </w:tc>
        <w:tc>
          <w:tcPr>
            <w:tcW w:w="938" w:type="dxa"/>
            <w:vAlign w:val="center"/>
          </w:tcPr>
          <w:p>
            <w:pPr>
              <w:spacing w:line="32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98</w:t>
            </w:r>
          </w:p>
        </w:tc>
      </w:tr>
    </w:tbl>
    <w:p/>
    <w:p/>
    <w:p/>
    <w:p/>
    <w:p/>
    <w:p/>
    <w:p/>
    <w:p/>
    <w:p/>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eastAsia="仿宋_GB2312"/>
          <w:sz w:val="32"/>
          <w:szCs w:val="32"/>
        </w:rPr>
      </w:pPr>
      <w:r>
        <w:rPr>
          <w:rFonts w:hint="eastAsia" w:eastAsia="黑体"/>
          <w:sz w:val="32"/>
          <w:szCs w:val="32"/>
        </w:rPr>
        <w:t>附件</w:t>
      </w:r>
      <w:r>
        <w:rPr>
          <w:rFonts w:eastAsia="黑体"/>
          <w:sz w:val="32"/>
          <w:szCs w:val="32"/>
        </w:rPr>
        <w:t>2</w:t>
      </w:r>
    </w:p>
    <w:p>
      <w:pPr>
        <w:jc w:val="center"/>
        <w:rPr>
          <w:rFonts w:ascii="仿宋" w:hAnsi="仿宋" w:eastAsia="仿宋"/>
          <w:b/>
          <w:bCs/>
          <w:sz w:val="44"/>
          <w:szCs w:val="44"/>
        </w:rPr>
      </w:pPr>
      <w:r>
        <w:rPr>
          <w:rFonts w:hint="eastAsia" w:ascii="仿宋" w:hAnsi="仿宋" w:eastAsia="仿宋"/>
          <w:b/>
          <w:bCs/>
          <w:sz w:val="44"/>
          <w:szCs w:val="44"/>
        </w:rPr>
        <w:t>部门整体支出绩效评价基础数据表</w:t>
      </w:r>
    </w:p>
    <w:p>
      <w:pPr>
        <w:rPr>
          <w:rFonts w:hint="default" w:ascii="仿宋" w:hAnsi="仿宋" w:eastAsia="仿宋"/>
          <w:lang w:val="en-US" w:eastAsia="zh-CN"/>
        </w:rPr>
      </w:pPr>
      <w:r>
        <w:rPr>
          <w:rFonts w:hint="eastAsia" w:ascii="仿宋" w:hAnsi="仿宋" w:eastAsia="仿宋"/>
        </w:rPr>
        <w:t>填报单位：</w:t>
      </w:r>
      <w:r>
        <w:rPr>
          <w:rFonts w:hint="eastAsia" w:ascii="仿宋" w:hAnsi="仿宋" w:eastAsia="仿宋"/>
          <w:lang w:val="en-US" w:eastAsia="zh-CN"/>
        </w:rPr>
        <w:t>后塘瑶族乡人民政府</w:t>
      </w:r>
    </w:p>
    <w:tbl>
      <w:tblPr>
        <w:tblStyle w:val="5"/>
        <w:tblW w:w="10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97"/>
        <w:gridCol w:w="2181"/>
        <w:gridCol w:w="2292"/>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3597" w:type="dxa"/>
            <w:vMerge w:val="restart"/>
            <w:vAlign w:val="center"/>
          </w:tcPr>
          <w:p>
            <w:pPr>
              <w:spacing w:line="440" w:lineRule="exact"/>
              <w:jc w:val="center"/>
              <w:rPr>
                <w:rFonts w:ascii="仿宋" w:hAnsi="仿宋" w:eastAsia="仿宋"/>
              </w:rPr>
            </w:pPr>
            <w:r>
              <w:rPr>
                <w:rFonts w:hint="eastAsia" w:ascii="仿宋" w:hAnsi="仿宋" w:eastAsia="仿宋"/>
              </w:rPr>
              <w:t>财政供养人员情况</w:t>
            </w:r>
          </w:p>
        </w:tc>
        <w:tc>
          <w:tcPr>
            <w:tcW w:w="2181" w:type="dxa"/>
            <w:tcBorders>
              <w:left w:val="nil"/>
            </w:tcBorders>
            <w:vAlign w:val="center"/>
          </w:tcPr>
          <w:p>
            <w:pPr>
              <w:spacing w:line="440" w:lineRule="exact"/>
              <w:jc w:val="center"/>
              <w:rPr>
                <w:rFonts w:ascii="仿宋" w:hAnsi="仿宋" w:eastAsia="仿宋"/>
              </w:rPr>
            </w:pPr>
            <w:r>
              <w:rPr>
                <w:rFonts w:hint="eastAsia" w:ascii="仿宋" w:hAnsi="仿宋" w:eastAsia="仿宋"/>
              </w:rPr>
              <w:t>编制数</w:t>
            </w:r>
          </w:p>
        </w:tc>
        <w:tc>
          <w:tcPr>
            <w:tcW w:w="2292" w:type="dxa"/>
            <w:tcBorders>
              <w:left w:val="nil"/>
            </w:tcBorders>
            <w:vAlign w:val="center"/>
          </w:tcPr>
          <w:p>
            <w:pPr>
              <w:spacing w:line="440" w:lineRule="exact"/>
              <w:jc w:val="center"/>
              <w:rPr>
                <w:rFonts w:ascii="仿宋" w:hAnsi="仿宋" w:eastAsia="仿宋"/>
              </w:rPr>
            </w:pPr>
            <w:r>
              <w:rPr>
                <w:rFonts w:ascii="仿宋" w:hAnsi="仿宋" w:eastAsia="仿宋"/>
              </w:rPr>
              <w:t>2020</w:t>
            </w:r>
            <w:r>
              <w:rPr>
                <w:rFonts w:hint="eastAsia" w:ascii="仿宋" w:hAnsi="仿宋" w:eastAsia="仿宋"/>
              </w:rPr>
              <w:t>年实际在职人数</w:t>
            </w:r>
          </w:p>
        </w:tc>
        <w:tc>
          <w:tcPr>
            <w:tcW w:w="2244" w:type="dxa"/>
            <w:tcBorders>
              <w:left w:val="nil"/>
            </w:tcBorders>
            <w:vAlign w:val="center"/>
          </w:tcPr>
          <w:p>
            <w:pPr>
              <w:spacing w:line="440" w:lineRule="exact"/>
              <w:jc w:val="center"/>
              <w:rPr>
                <w:rFonts w:ascii="仿宋" w:hAnsi="仿宋" w:eastAsia="仿宋"/>
              </w:rPr>
            </w:pPr>
            <w:r>
              <w:rPr>
                <w:rFonts w:hint="eastAsia" w:ascii="仿宋" w:hAnsi="仿宋" w:eastAsia="仿宋"/>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3597" w:type="dxa"/>
            <w:vMerge w:val="continue"/>
            <w:vAlign w:val="center"/>
          </w:tcPr>
          <w:p>
            <w:pPr>
              <w:widowControl/>
              <w:spacing w:line="440" w:lineRule="exact"/>
              <w:jc w:val="left"/>
              <w:rPr>
                <w:rFonts w:ascii="仿宋" w:hAnsi="仿宋" w:eastAsia="仿宋"/>
              </w:rPr>
            </w:pPr>
          </w:p>
        </w:tc>
        <w:tc>
          <w:tcPr>
            <w:tcW w:w="2181" w:type="dxa"/>
            <w:tcBorders>
              <w:left w:val="nil"/>
            </w:tcBorders>
            <w:vAlign w:val="center"/>
          </w:tcPr>
          <w:p>
            <w:pPr>
              <w:spacing w:line="440" w:lineRule="exact"/>
              <w:jc w:val="center"/>
              <w:rPr>
                <w:rFonts w:hint="default" w:ascii="仿宋" w:hAnsi="仿宋" w:eastAsia="仿宋"/>
                <w:lang w:val="en-US" w:eastAsia="zh-CN"/>
              </w:rPr>
            </w:pPr>
            <w:r>
              <w:rPr>
                <w:rFonts w:hint="eastAsia" w:ascii="仿宋" w:hAnsi="仿宋" w:eastAsia="仿宋"/>
                <w:lang w:val="en-US" w:eastAsia="zh-CN"/>
              </w:rPr>
              <w:t>46</w:t>
            </w:r>
          </w:p>
        </w:tc>
        <w:tc>
          <w:tcPr>
            <w:tcW w:w="2292" w:type="dxa"/>
            <w:tcBorders>
              <w:left w:val="nil"/>
            </w:tcBorders>
            <w:vAlign w:val="center"/>
          </w:tcPr>
          <w:p>
            <w:pPr>
              <w:spacing w:line="440" w:lineRule="exact"/>
              <w:jc w:val="center"/>
              <w:rPr>
                <w:rFonts w:hint="default" w:ascii="仿宋" w:hAnsi="仿宋" w:eastAsia="仿宋"/>
                <w:lang w:val="en-US" w:eastAsia="zh-CN"/>
              </w:rPr>
            </w:pPr>
            <w:r>
              <w:rPr>
                <w:rFonts w:hint="eastAsia" w:ascii="仿宋" w:hAnsi="仿宋" w:eastAsia="仿宋"/>
                <w:lang w:val="en-US" w:eastAsia="zh-CN"/>
              </w:rPr>
              <w:t>41</w:t>
            </w:r>
          </w:p>
        </w:tc>
        <w:tc>
          <w:tcPr>
            <w:tcW w:w="2244" w:type="dxa"/>
            <w:tcBorders>
              <w:left w:val="nil"/>
            </w:tcBorders>
            <w:vAlign w:val="center"/>
          </w:tcPr>
          <w:p>
            <w:pPr>
              <w:spacing w:line="440" w:lineRule="exact"/>
              <w:jc w:val="center"/>
              <w:rPr>
                <w:rFonts w:hint="default" w:ascii="仿宋" w:hAnsi="仿宋" w:eastAsia="仿宋"/>
                <w:lang w:val="en-US" w:eastAsia="zh-CN"/>
              </w:rPr>
            </w:pPr>
            <w:r>
              <w:rPr>
                <w:rFonts w:hint="eastAsia" w:ascii="仿宋" w:hAnsi="仿宋" w:eastAsia="仿宋"/>
                <w:lang w:val="en-US" w:eastAsia="zh-CN"/>
              </w:rPr>
              <w:t>89.13%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经费控制情况</w:t>
            </w:r>
          </w:p>
        </w:tc>
        <w:tc>
          <w:tcPr>
            <w:tcW w:w="2181" w:type="dxa"/>
            <w:tcBorders>
              <w:left w:val="nil"/>
            </w:tcBorders>
            <w:vAlign w:val="center"/>
          </w:tcPr>
          <w:p>
            <w:pPr>
              <w:spacing w:line="440" w:lineRule="exact"/>
              <w:jc w:val="center"/>
              <w:rPr>
                <w:rFonts w:ascii="仿宋" w:hAnsi="仿宋" w:eastAsia="仿宋"/>
              </w:rPr>
            </w:pPr>
            <w:r>
              <w:rPr>
                <w:rFonts w:hint="eastAsia" w:ascii="仿宋" w:hAnsi="仿宋" w:eastAsia="仿宋"/>
                <w:lang w:eastAsia="zh-CN"/>
              </w:rPr>
              <w:t>20</w:t>
            </w:r>
            <w:r>
              <w:rPr>
                <w:rFonts w:hint="eastAsia" w:ascii="仿宋" w:hAnsi="仿宋" w:eastAsia="仿宋"/>
                <w:lang w:val="en-US" w:eastAsia="zh-CN"/>
              </w:rPr>
              <w:t>19</w:t>
            </w:r>
            <w:r>
              <w:rPr>
                <w:rFonts w:hint="eastAsia" w:ascii="仿宋" w:hAnsi="仿宋" w:eastAsia="仿宋"/>
              </w:rPr>
              <w:t>年决算数</w:t>
            </w:r>
          </w:p>
        </w:tc>
        <w:tc>
          <w:tcPr>
            <w:tcW w:w="2292" w:type="dxa"/>
            <w:tcBorders>
              <w:left w:val="nil"/>
            </w:tcBorders>
            <w:vAlign w:val="center"/>
          </w:tcPr>
          <w:p>
            <w:pPr>
              <w:spacing w:line="440" w:lineRule="exact"/>
              <w:jc w:val="center"/>
              <w:rPr>
                <w:rFonts w:ascii="仿宋" w:hAnsi="仿宋" w:eastAsia="仿宋"/>
              </w:rPr>
            </w:pPr>
            <w:r>
              <w:rPr>
                <w:rFonts w:ascii="仿宋" w:hAnsi="仿宋" w:eastAsia="仿宋"/>
              </w:rPr>
              <w:t>2020</w:t>
            </w:r>
            <w:r>
              <w:rPr>
                <w:rFonts w:hint="eastAsia" w:ascii="仿宋" w:hAnsi="仿宋" w:eastAsia="仿宋"/>
              </w:rPr>
              <w:t>年预算数</w:t>
            </w:r>
          </w:p>
        </w:tc>
        <w:tc>
          <w:tcPr>
            <w:tcW w:w="2244" w:type="dxa"/>
            <w:tcBorders>
              <w:left w:val="nil"/>
            </w:tcBorders>
            <w:vAlign w:val="center"/>
          </w:tcPr>
          <w:p>
            <w:pPr>
              <w:spacing w:line="440" w:lineRule="exact"/>
              <w:jc w:val="center"/>
              <w:rPr>
                <w:rFonts w:ascii="仿宋" w:hAnsi="仿宋" w:eastAsia="仿宋"/>
              </w:rPr>
            </w:pPr>
            <w:r>
              <w:rPr>
                <w:rFonts w:ascii="仿宋" w:hAnsi="仿宋" w:eastAsia="仿宋"/>
              </w:rPr>
              <w:t>2020</w:t>
            </w:r>
            <w:r>
              <w:rPr>
                <w:rFonts w:hint="eastAsia" w:ascii="仿宋" w:hAnsi="仿宋" w:eastAsia="仿宋"/>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lang w:eastAsia="zh-CN"/>
              </w:rPr>
              <w:t>“</w:t>
            </w:r>
            <w:r>
              <w:rPr>
                <w:rFonts w:hint="eastAsia" w:ascii="仿宋" w:hAnsi="仿宋" w:eastAsia="仿宋"/>
              </w:rPr>
              <w:t>三公</w:t>
            </w:r>
            <w:r>
              <w:rPr>
                <w:rFonts w:hint="eastAsia" w:ascii="仿宋" w:hAnsi="仿宋" w:eastAsia="仿宋"/>
                <w:lang w:eastAsia="zh-CN"/>
              </w:rPr>
              <w:t>”</w:t>
            </w:r>
            <w:r>
              <w:rPr>
                <w:rFonts w:hint="eastAsia" w:ascii="仿宋" w:hAnsi="仿宋" w:eastAsia="仿宋"/>
              </w:rPr>
              <w:t>经费</w:t>
            </w:r>
          </w:p>
        </w:tc>
        <w:tc>
          <w:tcPr>
            <w:tcW w:w="2181"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25.7万元</w:t>
            </w:r>
          </w:p>
        </w:tc>
        <w:tc>
          <w:tcPr>
            <w:tcW w:w="2292"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29.51万元</w:t>
            </w:r>
          </w:p>
        </w:tc>
        <w:tc>
          <w:tcPr>
            <w:tcW w:w="2244"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25.64万元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3597" w:type="dxa"/>
            <w:vAlign w:val="center"/>
          </w:tcPr>
          <w:p>
            <w:pPr>
              <w:spacing w:line="440" w:lineRule="exact"/>
              <w:jc w:val="center"/>
              <w:rPr>
                <w:rFonts w:ascii="仿宋" w:hAnsi="仿宋" w:eastAsia="仿宋"/>
              </w:rPr>
            </w:pPr>
            <w:r>
              <w:rPr>
                <w:rFonts w:ascii="仿宋" w:hAnsi="仿宋" w:eastAsia="仿宋"/>
              </w:rPr>
              <w:t>1</w:t>
            </w:r>
            <w:r>
              <w:rPr>
                <w:rFonts w:hint="eastAsia" w:ascii="仿宋" w:hAnsi="仿宋" w:eastAsia="仿宋"/>
              </w:rPr>
              <w:t>、公务用车购置和维护经费</w:t>
            </w:r>
          </w:p>
        </w:tc>
        <w:tc>
          <w:tcPr>
            <w:tcW w:w="2181" w:type="dxa"/>
            <w:tcBorders>
              <w:left w:val="nil"/>
            </w:tcBorders>
          </w:tcPr>
          <w:p>
            <w:pPr>
              <w:spacing w:line="440" w:lineRule="exact"/>
              <w:jc w:val="center"/>
              <w:rPr>
                <w:rFonts w:ascii="仿宋" w:hAnsi="仿宋" w:eastAsia="仿宋"/>
              </w:rPr>
            </w:pPr>
          </w:p>
        </w:tc>
        <w:tc>
          <w:tcPr>
            <w:tcW w:w="2292" w:type="dxa"/>
            <w:tcBorders>
              <w:left w:val="nil"/>
            </w:tcBorders>
          </w:tcPr>
          <w:p>
            <w:pPr>
              <w:spacing w:line="440" w:lineRule="exact"/>
              <w:jc w:val="center"/>
              <w:rPr>
                <w:rFonts w:ascii="仿宋" w:hAnsi="仿宋" w:eastAsia="仿宋"/>
              </w:rPr>
            </w:pPr>
          </w:p>
        </w:tc>
        <w:tc>
          <w:tcPr>
            <w:tcW w:w="2244" w:type="dxa"/>
            <w:tcBorders>
              <w:left w:val="nil"/>
            </w:tcBorders>
          </w:tcPr>
          <w:p>
            <w:pPr>
              <w:spacing w:line="440" w:lineRule="exact"/>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其中：公车购置</w:t>
            </w:r>
          </w:p>
        </w:tc>
        <w:tc>
          <w:tcPr>
            <w:tcW w:w="2181" w:type="dxa"/>
            <w:tcBorders>
              <w:left w:val="nil"/>
            </w:tcBorders>
          </w:tcPr>
          <w:p>
            <w:pPr>
              <w:spacing w:line="440" w:lineRule="exact"/>
              <w:jc w:val="center"/>
              <w:rPr>
                <w:rFonts w:ascii="仿宋" w:hAnsi="仿宋" w:eastAsia="仿宋"/>
              </w:rPr>
            </w:pPr>
          </w:p>
        </w:tc>
        <w:tc>
          <w:tcPr>
            <w:tcW w:w="2292" w:type="dxa"/>
            <w:tcBorders>
              <w:left w:val="nil"/>
            </w:tcBorders>
          </w:tcPr>
          <w:p>
            <w:pPr>
              <w:spacing w:line="440" w:lineRule="exact"/>
              <w:jc w:val="center"/>
              <w:rPr>
                <w:rFonts w:ascii="仿宋" w:hAnsi="仿宋" w:eastAsia="仿宋"/>
              </w:rPr>
            </w:pPr>
          </w:p>
        </w:tc>
        <w:tc>
          <w:tcPr>
            <w:tcW w:w="2244" w:type="dxa"/>
            <w:tcBorders>
              <w:left w:val="nil"/>
            </w:tcBorders>
          </w:tcPr>
          <w:p>
            <w:pPr>
              <w:spacing w:line="440" w:lineRule="exact"/>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公车运行维护</w:t>
            </w:r>
          </w:p>
        </w:tc>
        <w:tc>
          <w:tcPr>
            <w:tcW w:w="2181"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12.72万元</w:t>
            </w:r>
          </w:p>
        </w:tc>
        <w:tc>
          <w:tcPr>
            <w:tcW w:w="2292"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15.51万元</w:t>
            </w:r>
          </w:p>
        </w:tc>
        <w:tc>
          <w:tcPr>
            <w:tcW w:w="2244"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12.88万元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3597" w:type="dxa"/>
            <w:vAlign w:val="center"/>
          </w:tcPr>
          <w:p>
            <w:pPr>
              <w:spacing w:line="440" w:lineRule="exact"/>
              <w:jc w:val="center"/>
              <w:rPr>
                <w:rFonts w:ascii="仿宋" w:hAnsi="仿宋" w:eastAsia="仿宋"/>
              </w:rPr>
            </w:pPr>
            <w:r>
              <w:rPr>
                <w:rFonts w:ascii="仿宋" w:hAnsi="仿宋" w:eastAsia="仿宋"/>
              </w:rPr>
              <w:t>2</w:t>
            </w:r>
            <w:r>
              <w:rPr>
                <w:rFonts w:hint="eastAsia" w:ascii="仿宋" w:hAnsi="仿宋" w:eastAsia="仿宋"/>
              </w:rPr>
              <w:t>、出国经费</w:t>
            </w:r>
          </w:p>
        </w:tc>
        <w:tc>
          <w:tcPr>
            <w:tcW w:w="2181" w:type="dxa"/>
            <w:tcBorders>
              <w:left w:val="nil"/>
            </w:tcBorders>
          </w:tcPr>
          <w:p>
            <w:pPr>
              <w:spacing w:line="440" w:lineRule="exact"/>
              <w:jc w:val="center"/>
              <w:rPr>
                <w:rFonts w:ascii="仿宋" w:hAnsi="仿宋" w:eastAsia="仿宋"/>
              </w:rPr>
            </w:pPr>
          </w:p>
        </w:tc>
        <w:tc>
          <w:tcPr>
            <w:tcW w:w="2292" w:type="dxa"/>
            <w:tcBorders>
              <w:left w:val="nil"/>
            </w:tcBorders>
          </w:tcPr>
          <w:p>
            <w:pPr>
              <w:spacing w:line="440" w:lineRule="exact"/>
              <w:jc w:val="center"/>
              <w:rPr>
                <w:rFonts w:ascii="仿宋" w:hAnsi="仿宋" w:eastAsia="仿宋"/>
              </w:rPr>
            </w:pPr>
          </w:p>
        </w:tc>
        <w:tc>
          <w:tcPr>
            <w:tcW w:w="2244" w:type="dxa"/>
            <w:tcBorders>
              <w:left w:val="nil"/>
            </w:tcBorders>
            <w:vAlign w:val="top"/>
          </w:tcPr>
          <w:p>
            <w:pPr>
              <w:spacing w:line="440" w:lineRule="exact"/>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ascii="仿宋" w:hAnsi="仿宋" w:eastAsia="仿宋"/>
              </w:rPr>
              <w:t>3</w:t>
            </w:r>
            <w:r>
              <w:rPr>
                <w:rFonts w:hint="eastAsia" w:ascii="仿宋" w:hAnsi="仿宋" w:eastAsia="仿宋"/>
              </w:rPr>
              <w:t>、公务接待</w:t>
            </w:r>
          </w:p>
        </w:tc>
        <w:tc>
          <w:tcPr>
            <w:tcW w:w="2181"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12.97万元</w:t>
            </w:r>
          </w:p>
        </w:tc>
        <w:tc>
          <w:tcPr>
            <w:tcW w:w="2292"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14万元</w:t>
            </w:r>
          </w:p>
        </w:tc>
        <w:tc>
          <w:tcPr>
            <w:tcW w:w="2244"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12.76万元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项目支出：</w:t>
            </w:r>
          </w:p>
        </w:tc>
        <w:tc>
          <w:tcPr>
            <w:tcW w:w="2181" w:type="dxa"/>
            <w:tcBorders>
              <w:left w:val="nil"/>
            </w:tcBorders>
          </w:tcPr>
          <w:p>
            <w:pPr>
              <w:spacing w:line="440" w:lineRule="exact"/>
              <w:jc w:val="center"/>
              <w:rPr>
                <w:rFonts w:ascii="仿宋" w:hAnsi="仿宋" w:eastAsia="仿宋"/>
              </w:rPr>
            </w:pPr>
          </w:p>
        </w:tc>
        <w:tc>
          <w:tcPr>
            <w:tcW w:w="2292" w:type="dxa"/>
            <w:tcBorders>
              <w:left w:val="nil"/>
            </w:tcBorders>
          </w:tcPr>
          <w:p>
            <w:pPr>
              <w:spacing w:line="440" w:lineRule="exact"/>
              <w:jc w:val="center"/>
              <w:rPr>
                <w:rFonts w:ascii="仿宋" w:hAnsi="仿宋" w:eastAsia="仿宋"/>
              </w:rPr>
            </w:pPr>
          </w:p>
        </w:tc>
        <w:tc>
          <w:tcPr>
            <w:tcW w:w="2244" w:type="dxa"/>
            <w:tcBorders>
              <w:left w:val="nil"/>
            </w:tcBorders>
          </w:tcPr>
          <w:p>
            <w:pPr>
              <w:spacing w:line="440" w:lineRule="exact"/>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ascii="仿宋" w:hAnsi="仿宋" w:eastAsia="仿宋"/>
              </w:rPr>
              <w:t>1</w:t>
            </w:r>
            <w:r>
              <w:rPr>
                <w:rFonts w:hint="eastAsia" w:ascii="仿宋" w:hAnsi="仿宋" w:eastAsia="仿宋"/>
              </w:rPr>
              <w:t>、业务工作专项</w:t>
            </w:r>
          </w:p>
        </w:tc>
        <w:tc>
          <w:tcPr>
            <w:tcW w:w="2181" w:type="dxa"/>
            <w:tcBorders>
              <w:left w:val="nil"/>
            </w:tcBorders>
          </w:tcPr>
          <w:p>
            <w:pPr>
              <w:spacing w:line="440" w:lineRule="exact"/>
              <w:jc w:val="center"/>
              <w:rPr>
                <w:rFonts w:ascii="仿宋" w:hAnsi="仿宋" w:eastAsia="仿宋"/>
              </w:rPr>
            </w:pPr>
          </w:p>
        </w:tc>
        <w:tc>
          <w:tcPr>
            <w:tcW w:w="2292" w:type="dxa"/>
            <w:tcBorders>
              <w:left w:val="nil"/>
            </w:tcBorders>
          </w:tcPr>
          <w:p>
            <w:pPr>
              <w:spacing w:line="440" w:lineRule="exact"/>
              <w:jc w:val="center"/>
              <w:rPr>
                <w:rFonts w:ascii="仿宋" w:hAnsi="仿宋" w:eastAsia="仿宋"/>
              </w:rPr>
            </w:pPr>
          </w:p>
        </w:tc>
        <w:tc>
          <w:tcPr>
            <w:tcW w:w="2244" w:type="dxa"/>
            <w:tcBorders>
              <w:left w:val="nil"/>
            </w:tcBorders>
          </w:tcPr>
          <w:p>
            <w:pPr>
              <w:spacing w:line="440" w:lineRule="exact"/>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3597" w:type="dxa"/>
            <w:vAlign w:val="center"/>
          </w:tcPr>
          <w:p>
            <w:pPr>
              <w:spacing w:line="440" w:lineRule="exact"/>
              <w:jc w:val="center"/>
              <w:rPr>
                <w:rFonts w:ascii="仿宋" w:hAnsi="仿宋" w:eastAsia="仿宋"/>
              </w:rPr>
            </w:pPr>
            <w:r>
              <w:rPr>
                <w:rFonts w:ascii="仿宋" w:hAnsi="仿宋" w:eastAsia="仿宋"/>
              </w:rPr>
              <w:t>2</w:t>
            </w:r>
            <w:r>
              <w:rPr>
                <w:rFonts w:hint="eastAsia" w:ascii="仿宋" w:hAnsi="仿宋" w:eastAsia="仿宋"/>
              </w:rPr>
              <w:t>、运行维护专项</w:t>
            </w:r>
          </w:p>
        </w:tc>
        <w:tc>
          <w:tcPr>
            <w:tcW w:w="2181"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197万元</w:t>
            </w:r>
          </w:p>
        </w:tc>
        <w:tc>
          <w:tcPr>
            <w:tcW w:w="2292"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180万元</w:t>
            </w:r>
          </w:p>
        </w:tc>
        <w:tc>
          <w:tcPr>
            <w:tcW w:w="2244"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159万元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w:t>
            </w:r>
            <w:r>
              <w:rPr>
                <w:rFonts w:ascii="宋体" w:cs="宋体"/>
              </w:rPr>
              <w:t> </w:t>
            </w:r>
            <w:r>
              <w:rPr>
                <w:rFonts w:hint="eastAsia" w:ascii="仿宋" w:hAnsi="仿宋" w:eastAsia="仿宋"/>
              </w:rPr>
              <w:t>…</w:t>
            </w:r>
          </w:p>
        </w:tc>
        <w:tc>
          <w:tcPr>
            <w:tcW w:w="2181" w:type="dxa"/>
            <w:tcBorders>
              <w:left w:val="nil"/>
            </w:tcBorders>
          </w:tcPr>
          <w:p>
            <w:pPr>
              <w:spacing w:line="440" w:lineRule="exact"/>
              <w:jc w:val="center"/>
              <w:rPr>
                <w:rFonts w:ascii="仿宋" w:hAnsi="仿宋" w:eastAsia="仿宋"/>
              </w:rPr>
            </w:pPr>
          </w:p>
        </w:tc>
        <w:tc>
          <w:tcPr>
            <w:tcW w:w="2292" w:type="dxa"/>
            <w:tcBorders>
              <w:left w:val="nil"/>
            </w:tcBorders>
          </w:tcPr>
          <w:p>
            <w:pPr>
              <w:spacing w:line="440" w:lineRule="exact"/>
              <w:jc w:val="center"/>
              <w:rPr>
                <w:rFonts w:ascii="仿宋" w:hAnsi="仿宋" w:eastAsia="仿宋"/>
              </w:rPr>
            </w:pPr>
          </w:p>
        </w:tc>
        <w:tc>
          <w:tcPr>
            <w:tcW w:w="2244" w:type="dxa"/>
            <w:tcBorders>
              <w:left w:val="nil"/>
            </w:tcBorders>
          </w:tcPr>
          <w:p>
            <w:pPr>
              <w:spacing w:line="440" w:lineRule="exact"/>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公用经费</w:t>
            </w:r>
          </w:p>
        </w:tc>
        <w:tc>
          <w:tcPr>
            <w:tcW w:w="2181"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162.59万元</w:t>
            </w:r>
          </w:p>
        </w:tc>
        <w:tc>
          <w:tcPr>
            <w:tcW w:w="2292"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340万元</w:t>
            </w:r>
          </w:p>
        </w:tc>
        <w:tc>
          <w:tcPr>
            <w:tcW w:w="2244"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331.38万元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其中：办公经费</w:t>
            </w:r>
          </w:p>
        </w:tc>
        <w:tc>
          <w:tcPr>
            <w:tcW w:w="2181"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17.15万元</w:t>
            </w:r>
          </w:p>
        </w:tc>
        <w:tc>
          <w:tcPr>
            <w:tcW w:w="2292"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30万元</w:t>
            </w:r>
          </w:p>
        </w:tc>
        <w:tc>
          <w:tcPr>
            <w:tcW w:w="2244"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21.36万元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水费、电费、差旅费</w:t>
            </w:r>
          </w:p>
        </w:tc>
        <w:tc>
          <w:tcPr>
            <w:tcW w:w="2181"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21.56万元</w:t>
            </w:r>
          </w:p>
        </w:tc>
        <w:tc>
          <w:tcPr>
            <w:tcW w:w="2292"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25万元</w:t>
            </w:r>
          </w:p>
        </w:tc>
        <w:tc>
          <w:tcPr>
            <w:tcW w:w="2244"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23.35万元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会议费、培训费</w:t>
            </w:r>
          </w:p>
        </w:tc>
        <w:tc>
          <w:tcPr>
            <w:tcW w:w="2181"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5.75万元</w:t>
            </w:r>
          </w:p>
        </w:tc>
        <w:tc>
          <w:tcPr>
            <w:tcW w:w="2292" w:type="dxa"/>
            <w:tcBorders>
              <w:left w:val="nil"/>
            </w:tcBorders>
          </w:tcPr>
          <w:p>
            <w:pPr>
              <w:spacing w:line="440" w:lineRule="exact"/>
              <w:jc w:val="center"/>
              <w:rPr>
                <w:rFonts w:hint="default" w:ascii="仿宋" w:hAnsi="仿宋" w:eastAsia="仿宋"/>
                <w:lang w:val="en-US" w:eastAsia="zh-CN"/>
              </w:rPr>
            </w:pPr>
            <w:r>
              <w:rPr>
                <w:rFonts w:hint="eastAsia" w:ascii="仿宋" w:hAnsi="仿宋" w:eastAsia="仿宋"/>
                <w:lang w:val="en-US" w:eastAsia="zh-CN"/>
              </w:rPr>
              <w:t>5万元</w:t>
            </w:r>
          </w:p>
        </w:tc>
        <w:tc>
          <w:tcPr>
            <w:tcW w:w="2244" w:type="dxa"/>
            <w:tcBorders>
              <w:left w:val="nil"/>
            </w:tcBorders>
            <w:vAlign w:val="top"/>
          </w:tcPr>
          <w:p>
            <w:pPr>
              <w:spacing w:line="440" w:lineRule="exact"/>
              <w:jc w:val="center"/>
              <w:rPr>
                <w:rFonts w:hint="default" w:ascii="仿宋" w:hAnsi="仿宋" w:eastAsia="仿宋"/>
                <w:lang w:val="en-US" w:eastAsia="zh-CN"/>
              </w:rPr>
            </w:pPr>
            <w:r>
              <w:rPr>
                <w:rFonts w:hint="eastAsia" w:ascii="仿宋" w:hAnsi="仿宋" w:eastAsia="仿宋"/>
                <w:lang w:val="en-US" w:eastAsia="zh-CN"/>
              </w:rPr>
              <w:t>2.8万元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政府采购金额</w:t>
            </w:r>
          </w:p>
        </w:tc>
        <w:tc>
          <w:tcPr>
            <w:tcW w:w="2181" w:type="dxa"/>
            <w:tcBorders>
              <w:left w:val="nil"/>
            </w:tcBorders>
            <w:vAlign w:val="center"/>
          </w:tcPr>
          <w:p>
            <w:pPr>
              <w:spacing w:line="440" w:lineRule="exact"/>
              <w:jc w:val="center"/>
              <w:rPr>
                <w:rFonts w:ascii="仿宋" w:hAnsi="仿宋" w:eastAsia="仿宋"/>
              </w:rPr>
            </w:pPr>
            <w:r>
              <w:rPr>
                <w:rFonts w:ascii="仿宋" w:hAnsi="仿宋" w:eastAsia="仿宋"/>
              </w:rPr>
              <w:t>— —</w:t>
            </w: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597" w:type="dxa"/>
            <w:vAlign w:val="center"/>
          </w:tcPr>
          <w:p>
            <w:pPr>
              <w:spacing w:line="440" w:lineRule="exact"/>
              <w:jc w:val="center"/>
              <w:rPr>
                <w:rFonts w:ascii="仿宋" w:hAnsi="仿宋" w:eastAsia="仿宋"/>
              </w:rPr>
            </w:pPr>
            <w:r>
              <w:rPr>
                <w:rFonts w:hint="eastAsia" w:ascii="仿宋" w:hAnsi="仿宋" w:eastAsia="仿宋"/>
              </w:rPr>
              <w:t>部门整体支出预算调整</w:t>
            </w:r>
          </w:p>
        </w:tc>
        <w:tc>
          <w:tcPr>
            <w:tcW w:w="2181" w:type="dxa"/>
            <w:tcBorders>
              <w:left w:val="nil"/>
            </w:tcBorders>
            <w:vAlign w:val="center"/>
          </w:tcPr>
          <w:p>
            <w:pPr>
              <w:spacing w:line="440" w:lineRule="exact"/>
              <w:jc w:val="center"/>
              <w:rPr>
                <w:rFonts w:ascii="仿宋" w:hAnsi="仿宋" w:eastAsia="仿宋"/>
              </w:rPr>
            </w:pPr>
            <w:r>
              <w:rPr>
                <w:rFonts w:ascii="仿宋" w:hAnsi="仿宋" w:eastAsia="仿宋"/>
              </w:rPr>
              <w:t>— —</w:t>
            </w:r>
          </w:p>
        </w:tc>
        <w:tc>
          <w:tcPr>
            <w:tcW w:w="2292" w:type="dxa"/>
            <w:tcBorders>
              <w:left w:val="nil"/>
            </w:tcBorders>
          </w:tcPr>
          <w:p>
            <w:pPr>
              <w:spacing w:line="440" w:lineRule="exact"/>
              <w:rPr>
                <w:rFonts w:ascii="仿宋" w:hAnsi="仿宋" w:eastAsia="仿宋"/>
              </w:rPr>
            </w:pPr>
          </w:p>
        </w:tc>
        <w:tc>
          <w:tcPr>
            <w:tcW w:w="2244" w:type="dxa"/>
            <w:tcBorders>
              <w:left w:val="nil"/>
            </w:tcBorders>
          </w:tcPr>
          <w:p>
            <w:pPr>
              <w:spacing w:line="440" w:lineRule="exact"/>
              <w:rPr>
                <w:rFonts w:ascii="仿宋" w:hAnsi="仿宋" w:eastAsia="仿宋"/>
              </w:rPr>
            </w:pPr>
          </w:p>
        </w:tc>
      </w:tr>
    </w:tbl>
    <w:p>
      <w:pPr>
        <w:spacing w:line="400" w:lineRule="exact"/>
        <w:rPr>
          <w:rFonts w:hint="eastAsia" w:ascii="仿宋" w:hAnsi="仿宋" w:eastAsia="仿宋"/>
        </w:rPr>
      </w:pPr>
      <w:r>
        <w:rPr>
          <w:rFonts w:hint="eastAsia" w:ascii="仿宋" w:hAnsi="仿宋" w:eastAsia="仿宋"/>
        </w:rPr>
        <w:t>说明：“项目支出”需要填报除专项资金和基本支出以外的所有项目情况，包括业务工作项目、运行维护项目等；“公用经费”填报基本支出中的一般商品和服务支出。</w:t>
      </w:r>
    </w:p>
    <w:p>
      <w:pPr>
        <w:spacing w:line="400" w:lineRule="exact"/>
        <w:rPr>
          <w:rFonts w:hint="eastAsia" w:ascii="仿宋" w:hAnsi="仿宋" w:eastAsia="仿宋"/>
        </w:rPr>
      </w:pPr>
    </w:p>
    <w:p>
      <w:pPr>
        <w:spacing w:line="400" w:lineRule="exact"/>
        <w:rPr>
          <w:rFonts w:hint="eastAsia" w:ascii="仿宋" w:hAnsi="仿宋" w:eastAsia="仿宋"/>
        </w:rPr>
      </w:pPr>
    </w:p>
    <w:p>
      <w:pPr>
        <w:spacing w:line="400" w:lineRule="exact"/>
        <w:rPr>
          <w:rFonts w:hint="eastAsia" w:ascii="仿宋" w:hAnsi="仿宋" w:eastAsia="仿宋"/>
        </w:rPr>
      </w:pPr>
    </w:p>
    <w:p>
      <w:pPr>
        <w:spacing w:line="400" w:lineRule="exact"/>
        <w:rPr>
          <w:rFonts w:hint="eastAsia" w:ascii="仿宋" w:hAnsi="仿宋" w:eastAsia="仿宋"/>
        </w:rPr>
      </w:pPr>
    </w:p>
    <w:p>
      <w:pPr>
        <w:spacing w:line="400" w:lineRule="exact"/>
        <w:rPr>
          <w:rFonts w:hint="eastAsia" w:ascii="仿宋" w:hAnsi="仿宋" w:eastAsia="仿宋"/>
        </w:rPr>
      </w:pPr>
    </w:p>
    <w:p>
      <w:pPr>
        <w:spacing w:line="400" w:lineRule="exact"/>
        <w:rPr>
          <w:rFonts w:hint="eastAsia" w:ascii="仿宋" w:hAnsi="仿宋" w:eastAsia="仿宋"/>
        </w:rPr>
      </w:pPr>
    </w:p>
    <w:p>
      <w:pPr>
        <w:spacing w:line="400" w:lineRule="exact"/>
        <w:rPr>
          <w:rFonts w:hint="eastAsia" w:ascii="仿宋" w:hAnsi="仿宋" w:eastAsia="仿宋"/>
        </w:rPr>
      </w:pPr>
    </w:p>
    <w:p>
      <w:pPr>
        <w:spacing w:line="400" w:lineRule="exact"/>
        <w:rPr>
          <w:rFonts w:hint="eastAsia" w:ascii="仿宋" w:hAnsi="仿宋" w:eastAsia="仿宋"/>
        </w:rPr>
      </w:pPr>
    </w:p>
    <w:p>
      <w:pPr>
        <w:widowControl/>
        <w:spacing w:line="600" w:lineRule="exact"/>
        <w:jc w:val="left"/>
        <w:rPr>
          <w:rFonts w:eastAsia="黑体"/>
          <w:kern w:val="0"/>
          <w:sz w:val="32"/>
          <w:szCs w:val="32"/>
        </w:rPr>
      </w:pPr>
      <w:r>
        <w:rPr>
          <w:rFonts w:hint="eastAsia" w:eastAsia="黑体"/>
          <w:kern w:val="0"/>
          <w:sz w:val="32"/>
          <w:szCs w:val="32"/>
        </w:rPr>
        <w:t>附件</w:t>
      </w:r>
      <w:r>
        <w:rPr>
          <w:rFonts w:eastAsia="黑体"/>
          <w:kern w:val="0"/>
          <w:sz w:val="32"/>
          <w:szCs w:val="32"/>
        </w:rPr>
        <w:t>3</w:t>
      </w:r>
    </w:p>
    <w:p>
      <w:pPr>
        <w:spacing w:line="600" w:lineRule="exact"/>
        <w:jc w:val="center"/>
        <w:rPr>
          <w:rFonts w:eastAsia="黑体"/>
          <w:kern w:val="0"/>
          <w:sz w:val="32"/>
          <w:szCs w:val="32"/>
        </w:rPr>
      </w:pPr>
      <w:r>
        <w:rPr>
          <w:rFonts w:hint="eastAsia" w:eastAsia="方正小标宋_GBK"/>
          <w:sz w:val="36"/>
          <w:szCs w:val="36"/>
        </w:rPr>
        <w:t>辰溪县</w:t>
      </w:r>
      <w:r>
        <w:rPr>
          <w:rFonts w:hint="eastAsia" w:eastAsia="方正小标宋_GBK"/>
          <w:sz w:val="36"/>
          <w:szCs w:val="36"/>
          <w:lang w:eastAsia="zh-CN"/>
        </w:rPr>
        <w:t>后塘瑶族乡</w:t>
      </w:r>
      <w:r>
        <w:rPr>
          <w:rFonts w:hint="eastAsia" w:eastAsia="方正小标宋_GBK"/>
          <w:sz w:val="36"/>
          <w:szCs w:val="36"/>
        </w:rPr>
        <w:t>人民政府2020年度部门整体支出绩效评价报告</w:t>
      </w:r>
    </w:p>
    <w:p>
      <w:pPr>
        <w:pStyle w:val="2"/>
        <w:bidi w:val="0"/>
        <w:rPr>
          <w:rFonts w:hint="eastAsia"/>
        </w:rPr>
      </w:pPr>
      <w:r>
        <w:rPr>
          <w:rFonts w:hint="eastAsia"/>
        </w:rPr>
        <w:t>一、决算支出概况</w:t>
      </w:r>
    </w:p>
    <w:p>
      <w:pPr>
        <w:pStyle w:val="3"/>
        <w:bidi w:val="0"/>
        <w:rPr>
          <w:rFonts w:hint="eastAsia"/>
        </w:rPr>
      </w:pPr>
      <w:r>
        <w:rPr>
          <w:rFonts w:hint="eastAsia"/>
        </w:rPr>
        <w:t>（一）单位基本情况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辰溪县</w:t>
      </w:r>
      <w:r>
        <w:rPr>
          <w:rFonts w:hint="eastAsia" w:asciiTheme="minorEastAsia" w:hAnsiTheme="minorEastAsia" w:eastAsiaTheme="minorEastAsia" w:cstheme="minorEastAsia"/>
          <w:i w:val="0"/>
          <w:iCs w:val="0"/>
          <w:caps w:val="0"/>
          <w:color w:val="3D3D3D"/>
          <w:spacing w:val="0"/>
          <w:sz w:val="30"/>
          <w:szCs w:val="30"/>
          <w:shd w:val="clear" w:fill="FFFFFF"/>
          <w:lang w:eastAsia="zh-CN"/>
        </w:rPr>
        <w:t>后塘瑶族</w:t>
      </w:r>
      <w:r>
        <w:rPr>
          <w:rFonts w:hint="eastAsia" w:asciiTheme="minorEastAsia" w:hAnsiTheme="minorEastAsia" w:eastAsiaTheme="minorEastAsia" w:cstheme="minorEastAsia"/>
          <w:i w:val="0"/>
          <w:iCs w:val="0"/>
          <w:caps w:val="0"/>
          <w:color w:val="3D3D3D"/>
          <w:spacing w:val="0"/>
          <w:sz w:val="30"/>
          <w:szCs w:val="30"/>
          <w:shd w:val="clear" w:fill="FFFFFF"/>
        </w:rPr>
        <w:t>乡人民政府基本职能：承担促进经济发展、搞好公共服务、加强社会管理、维护社会稳定等综合职能。具体职能如下：1、认真贯彻国家的方针政策、法律、法规，严格遵循财经纪律和各项规章制度。2、执行本级人民代表大会的决议和上级国家行政机关的决定和命令。3、执行本行政区域内的经济和社会发展计划、预算，管理本行政区域内的经济、教育、科学、文化、卫健、体育事业和财政、民政、司法行政等行政工作。4、保护社会主义的全民所有的财产和劳动群众集体所有的财产，保护公民私人所有的合法财产，维护社会秩序，保障公民的人身权利、民主权利和其他权利。5、保护各种经济组织的合法权益。6、办理上级人民政府交办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人员情况：截至</w:t>
      </w:r>
      <w:r>
        <w:rPr>
          <w:rFonts w:hint="eastAsia" w:asciiTheme="minorEastAsia" w:hAnsiTheme="minorEastAsia" w:eastAsiaTheme="minorEastAsia" w:cstheme="minorEastAsia"/>
          <w:i w:val="0"/>
          <w:iCs w:val="0"/>
          <w:caps w:val="0"/>
          <w:color w:val="3D3D3D"/>
          <w:spacing w:val="0"/>
          <w:sz w:val="30"/>
          <w:szCs w:val="30"/>
          <w:shd w:val="clear" w:fill="FFFFFF"/>
          <w:lang w:eastAsia="zh-CN"/>
        </w:rPr>
        <w:t>2020</w:t>
      </w:r>
      <w:r>
        <w:rPr>
          <w:rFonts w:hint="eastAsia" w:asciiTheme="minorEastAsia" w:hAnsiTheme="minorEastAsia" w:eastAsiaTheme="minorEastAsia" w:cstheme="minorEastAsia"/>
          <w:i w:val="0"/>
          <w:iCs w:val="0"/>
          <w:caps w:val="0"/>
          <w:color w:val="3D3D3D"/>
          <w:spacing w:val="0"/>
          <w:sz w:val="30"/>
          <w:szCs w:val="30"/>
          <w:shd w:val="clear" w:fill="FFFFFF"/>
        </w:rPr>
        <w:t>年底，</w:t>
      </w:r>
      <w:r>
        <w:rPr>
          <w:rFonts w:hint="eastAsia" w:asciiTheme="minorEastAsia" w:hAnsiTheme="minorEastAsia" w:eastAsiaTheme="minorEastAsia" w:cstheme="minorEastAsia"/>
          <w:i w:val="0"/>
          <w:iCs w:val="0"/>
          <w:caps w:val="0"/>
          <w:color w:val="3D3D3D"/>
          <w:spacing w:val="0"/>
          <w:sz w:val="30"/>
          <w:szCs w:val="30"/>
          <w:shd w:val="clear" w:fill="FFFFFF"/>
          <w:lang w:eastAsia="zh-CN"/>
        </w:rPr>
        <w:t>后塘瑶族</w:t>
      </w:r>
      <w:r>
        <w:rPr>
          <w:rFonts w:hint="eastAsia" w:asciiTheme="minorEastAsia" w:hAnsiTheme="minorEastAsia" w:eastAsiaTheme="minorEastAsia" w:cstheme="minorEastAsia"/>
          <w:i w:val="0"/>
          <w:iCs w:val="0"/>
          <w:caps w:val="0"/>
          <w:color w:val="3D3D3D"/>
          <w:spacing w:val="0"/>
          <w:sz w:val="30"/>
          <w:szCs w:val="30"/>
          <w:shd w:val="clear" w:fill="FFFFFF"/>
        </w:rPr>
        <w:t>乡人民政府核定人员编制</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46</w:t>
      </w:r>
      <w:r>
        <w:rPr>
          <w:rFonts w:hint="eastAsia" w:asciiTheme="minorEastAsia" w:hAnsiTheme="minorEastAsia" w:eastAsiaTheme="minorEastAsia" w:cstheme="minorEastAsia"/>
          <w:i w:val="0"/>
          <w:iCs w:val="0"/>
          <w:caps w:val="0"/>
          <w:color w:val="3D3D3D"/>
          <w:spacing w:val="0"/>
          <w:sz w:val="30"/>
          <w:szCs w:val="30"/>
          <w:shd w:val="clear" w:fill="FFFFFF"/>
        </w:rPr>
        <w:t>人，行政编制</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21</w:t>
      </w:r>
      <w:r>
        <w:rPr>
          <w:rFonts w:hint="eastAsia" w:asciiTheme="minorEastAsia" w:hAnsiTheme="minorEastAsia" w:eastAsiaTheme="minorEastAsia" w:cstheme="minorEastAsia"/>
          <w:i w:val="0"/>
          <w:iCs w:val="0"/>
          <w:caps w:val="0"/>
          <w:color w:val="3D3D3D"/>
          <w:spacing w:val="0"/>
          <w:sz w:val="30"/>
          <w:szCs w:val="30"/>
          <w:shd w:val="clear" w:fill="FFFFFF"/>
        </w:rPr>
        <w:t>人，事业编制</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25</w:t>
      </w:r>
      <w:r>
        <w:rPr>
          <w:rFonts w:hint="eastAsia" w:asciiTheme="minorEastAsia" w:hAnsiTheme="minorEastAsia" w:eastAsiaTheme="minorEastAsia" w:cstheme="minorEastAsia"/>
          <w:i w:val="0"/>
          <w:iCs w:val="0"/>
          <w:caps w:val="0"/>
          <w:color w:val="3D3D3D"/>
          <w:spacing w:val="0"/>
          <w:sz w:val="30"/>
          <w:szCs w:val="30"/>
          <w:shd w:val="clear" w:fill="FFFFFF"/>
        </w:rPr>
        <w:t>人；实际在编</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41</w:t>
      </w:r>
      <w:r>
        <w:rPr>
          <w:rFonts w:hint="eastAsia" w:asciiTheme="minorEastAsia" w:hAnsiTheme="minorEastAsia" w:eastAsiaTheme="minorEastAsia" w:cstheme="minorEastAsia"/>
          <w:i w:val="0"/>
          <w:iCs w:val="0"/>
          <w:caps w:val="0"/>
          <w:color w:val="3D3D3D"/>
          <w:spacing w:val="0"/>
          <w:sz w:val="30"/>
          <w:szCs w:val="30"/>
          <w:shd w:val="clear" w:fill="FFFFFF"/>
        </w:rPr>
        <w:t>人（行政编制</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19</w:t>
      </w:r>
      <w:r>
        <w:rPr>
          <w:rFonts w:hint="eastAsia" w:asciiTheme="minorEastAsia" w:hAnsiTheme="minorEastAsia" w:eastAsiaTheme="minorEastAsia" w:cstheme="minorEastAsia"/>
          <w:i w:val="0"/>
          <w:iCs w:val="0"/>
          <w:caps w:val="0"/>
          <w:color w:val="3D3D3D"/>
          <w:spacing w:val="0"/>
          <w:sz w:val="30"/>
          <w:szCs w:val="30"/>
          <w:shd w:val="clear" w:fill="FFFFFF"/>
        </w:rPr>
        <w:t>人，事业编制</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22</w:t>
      </w:r>
      <w:r>
        <w:rPr>
          <w:rFonts w:hint="eastAsia" w:asciiTheme="minorEastAsia" w:hAnsiTheme="minorEastAsia" w:eastAsiaTheme="minorEastAsia" w:cstheme="minorEastAsia"/>
          <w:i w:val="0"/>
          <w:iCs w:val="0"/>
          <w:caps w:val="0"/>
          <w:color w:val="3D3D3D"/>
          <w:spacing w:val="0"/>
          <w:sz w:val="30"/>
          <w:szCs w:val="30"/>
          <w:shd w:val="clear" w:fill="FFFFFF"/>
        </w:rPr>
        <w:t>人），财政实际供给</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42</w:t>
      </w:r>
      <w:r>
        <w:rPr>
          <w:rFonts w:hint="eastAsia" w:asciiTheme="minorEastAsia" w:hAnsiTheme="minorEastAsia" w:eastAsiaTheme="minorEastAsia" w:cstheme="minorEastAsia"/>
          <w:i w:val="0"/>
          <w:iCs w:val="0"/>
          <w:caps w:val="0"/>
          <w:color w:val="3D3D3D"/>
          <w:spacing w:val="0"/>
          <w:sz w:val="30"/>
          <w:szCs w:val="30"/>
          <w:shd w:val="clear" w:fill="FFFFFF"/>
        </w:rPr>
        <w:t>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机构设置及资产情况：</w:t>
      </w:r>
      <w:r>
        <w:rPr>
          <w:rFonts w:hint="eastAsia" w:asciiTheme="minorEastAsia" w:hAnsiTheme="minorEastAsia" w:eastAsiaTheme="minorEastAsia" w:cstheme="minorEastAsia"/>
          <w:i w:val="0"/>
          <w:iCs w:val="0"/>
          <w:caps w:val="0"/>
          <w:color w:val="3D3D3D"/>
          <w:spacing w:val="0"/>
          <w:sz w:val="30"/>
          <w:szCs w:val="30"/>
          <w:shd w:val="clear" w:fill="FFFFFF"/>
          <w:lang w:eastAsia="zh-CN"/>
        </w:rPr>
        <w:t>后塘瑶族</w:t>
      </w:r>
      <w:r>
        <w:rPr>
          <w:rFonts w:hint="eastAsia" w:asciiTheme="minorEastAsia" w:hAnsiTheme="minorEastAsia" w:eastAsiaTheme="minorEastAsia" w:cstheme="minorEastAsia"/>
          <w:i w:val="0"/>
          <w:iCs w:val="0"/>
          <w:caps w:val="0"/>
          <w:color w:val="3D3D3D"/>
          <w:spacing w:val="0"/>
          <w:sz w:val="30"/>
          <w:szCs w:val="30"/>
          <w:shd w:val="clear" w:fill="FFFFFF"/>
        </w:rPr>
        <w:t>乡人民政府属全额行政机关，是一级部门预算单位，根据编制部门机构改革批复方案，内设党政办公室、党建办公室、经济发展办公室、社会事务办公室、社会治安和应急管理办公室、自然资源和生态环境办公室、社会事务综合服务中心、农业综合服务中心、便民服务中心、综合行政执法大队、财政所。全乡财务决算单位一个,年末资产总额为</w:t>
      </w: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4085736.04</w:t>
      </w:r>
      <w:r>
        <w:rPr>
          <w:rFonts w:hint="eastAsia" w:asciiTheme="minorEastAsia" w:hAnsiTheme="minorEastAsia" w:eastAsiaTheme="minorEastAsia" w:cstheme="minorEastAsia"/>
          <w:i w:val="0"/>
          <w:iCs w:val="0"/>
          <w:caps w:val="0"/>
          <w:color w:val="auto"/>
          <w:spacing w:val="0"/>
          <w:sz w:val="30"/>
          <w:szCs w:val="30"/>
          <w:shd w:val="clear" w:fill="FFFFFF"/>
        </w:rPr>
        <w:t>元，其中：固定资产为</w:t>
      </w: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1392673.69</w:t>
      </w:r>
      <w:r>
        <w:rPr>
          <w:rFonts w:hint="eastAsia" w:asciiTheme="minorEastAsia" w:hAnsiTheme="minorEastAsia" w:eastAsiaTheme="minorEastAsia" w:cstheme="minorEastAsia"/>
          <w:i w:val="0"/>
          <w:iCs w:val="0"/>
          <w:caps w:val="0"/>
          <w:color w:val="auto"/>
          <w:spacing w:val="0"/>
          <w:sz w:val="30"/>
          <w:szCs w:val="30"/>
          <w:shd w:val="clear" w:fill="FFFFFF"/>
        </w:rPr>
        <w:t>元。</w:t>
      </w:r>
    </w:p>
    <w:p>
      <w:pPr>
        <w:pStyle w:val="3"/>
        <w:bidi w:val="0"/>
        <w:rPr>
          <w:rFonts w:hint="eastAsia"/>
          <w:b/>
        </w:rPr>
      </w:pPr>
      <w:r>
        <w:rPr>
          <w:rFonts w:hint="eastAsia"/>
          <w:b/>
        </w:rPr>
        <w:t>（二）决算资金基本情况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default" w:asciiTheme="minorEastAsia" w:hAnsiTheme="minorEastAsia" w:eastAsiaTheme="minorEastAsia" w:cstheme="minorEastAsia"/>
          <w:i w:val="0"/>
          <w:iCs w:val="0"/>
          <w:caps w:val="0"/>
          <w:color w:val="3D3D3D"/>
          <w:spacing w:val="0"/>
          <w:sz w:val="30"/>
          <w:szCs w:val="30"/>
          <w:lang w:val="en-US" w:eastAsia="zh-CN"/>
        </w:rPr>
      </w:pPr>
      <w:r>
        <w:rPr>
          <w:rFonts w:hint="eastAsia" w:asciiTheme="minorEastAsia" w:hAnsiTheme="minorEastAsia" w:eastAsiaTheme="minorEastAsia" w:cstheme="minorEastAsia"/>
          <w:i w:val="0"/>
          <w:iCs w:val="0"/>
          <w:caps w:val="0"/>
          <w:color w:val="3D3D3D"/>
          <w:spacing w:val="0"/>
          <w:sz w:val="30"/>
          <w:szCs w:val="30"/>
          <w:shd w:val="clear" w:fill="FFFFFF"/>
          <w:lang w:eastAsia="zh-CN"/>
        </w:rPr>
        <w:t>2020</w:t>
      </w:r>
      <w:r>
        <w:rPr>
          <w:rFonts w:hint="eastAsia" w:asciiTheme="minorEastAsia" w:hAnsiTheme="minorEastAsia" w:eastAsiaTheme="minorEastAsia" w:cstheme="minorEastAsia"/>
          <w:i w:val="0"/>
          <w:iCs w:val="0"/>
          <w:caps w:val="0"/>
          <w:color w:val="3D3D3D"/>
          <w:spacing w:val="0"/>
          <w:sz w:val="30"/>
          <w:szCs w:val="30"/>
          <w:shd w:val="clear" w:fill="FFFFFF"/>
        </w:rPr>
        <w:t>年度共取得部门决算收入</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1186.11</w:t>
      </w:r>
      <w:r>
        <w:rPr>
          <w:rFonts w:hint="eastAsia" w:asciiTheme="minorEastAsia" w:hAnsiTheme="minorEastAsia" w:eastAsiaTheme="minorEastAsia" w:cstheme="minorEastAsia"/>
          <w:i w:val="0"/>
          <w:iCs w:val="0"/>
          <w:caps w:val="0"/>
          <w:color w:val="3D3D3D"/>
          <w:spacing w:val="0"/>
          <w:sz w:val="30"/>
          <w:szCs w:val="30"/>
          <w:shd w:val="clear" w:fill="FFFFFF"/>
        </w:rPr>
        <w:t>万元，年初结转和结余</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23.94</w:t>
      </w:r>
      <w:r>
        <w:rPr>
          <w:rFonts w:hint="eastAsia" w:asciiTheme="minorEastAsia" w:hAnsiTheme="minorEastAsia" w:eastAsiaTheme="minorEastAsia" w:cstheme="minorEastAsia"/>
          <w:i w:val="0"/>
          <w:iCs w:val="0"/>
          <w:caps w:val="0"/>
          <w:color w:val="3D3D3D"/>
          <w:spacing w:val="0"/>
          <w:sz w:val="30"/>
          <w:szCs w:val="30"/>
          <w:shd w:val="clear" w:fill="FFFFFF"/>
        </w:rPr>
        <w:t>万元， 其中：一般公共预算拨款收入</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1159.63</w:t>
      </w:r>
      <w:r>
        <w:rPr>
          <w:rFonts w:hint="eastAsia" w:asciiTheme="minorEastAsia" w:hAnsiTheme="minorEastAsia" w:eastAsiaTheme="minorEastAsia" w:cstheme="minorEastAsia"/>
          <w:i w:val="0"/>
          <w:iCs w:val="0"/>
          <w:caps w:val="0"/>
          <w:color w:val="3D3D3D"/>
          <w:spacing w:val="0"/>
          <w:sz w:val="30"/>
          <w:szCs w:val="30"/>
          <w:shd w:val="clear" w:fill="FFFFFF"/>
        </w:rPr>
        <w:t>万元，占</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99.99</w:t>
      </w:r>
      <w:r>
        <w:rPr>
          <w:rFonts w:hint="eastAsia" w:asciiTheme="minorEastAsia" w:hAnsiTheme="minorEastAsia" w:eastAsiaTheme="minorEastAsia" w:cstheme="minorEastAsia"/>
          <w:i w:val="0"/>
          <w:iCs w:val="0"/>
          <w:caps w:val="0"/>
          <w:color w:val="3D3D3D"/>
          <w:spacing w:val="0"/>
          <w:sz w:val="30"/>
          <w:szCs w:val="30"/>
          <w:shd w:val="clear" w:fill="FFFFFF"/>
        </w:rPr>
        <w:t>%。包含：一般公共服务收入</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886.02</w:t>
      </w:r>
      <w:r>
        <w:rPr>
          <w:rFonts w:hint="eastAsia" w:asciiTheme="minorEastAsia" w:hAnsiTheme="minorEastAsia" w:eastAsiaTheme="minorEastAsia" w:cstheme="minorEastAsia"/>
          <w:i w:val="0"/>
          <w:iCs w:val="0"/>
          <w:caps w:val="0"/>
          <w:color w:val="3D3D3D"/>
          <w:spacing w:val="0"/>
          <w:sz w:val="30"/>
          <w:szCs w:val="30"/>
          <w:shd w:val="clear" w:fill="FFFFFF"/>
        </w:rPr>
        <w:t>万元，社会保障和就业支出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72.72</w:t>
      </w:r>
      <w:r>
        <w:rPr>
          <w:rFonts w:hint="eastAsia" w:asciiTheme="minorEastAsia" w:hAnsiTheme="minorEastAsia" w:eastAsiaTheme="minorEastAsia" w:cstheme="minorEastAsia"/>
          <w:i w:val="0"/>
          <w:iCs w:val="0"/>
          <w:caps w:val="0"/>
          <w:color w:val="3D3D3D"/>
          <w:spacing w:val="0"/>
          <w:sz w:val="30"/>
          <w:szCs w:val="30"/>
          <w:shd w:val="clear" w:fill="FFFFFF"/>
        </w:rPr>
        <w:t>万元</w:t>
      </w:r>
      <w:r>
        <w:rPr>
          <w:rFonts w:hint="eastAsia" w:asciiTheme="minorEastAsia" w:hAnsiTheme="minorEastAsia" w:eastAsiaTheme="minorEastAsia" w:cstheme="minorEastAsia"/>
          <w:i w:val="0"/>
          <w:iCs w:val="0"/>
          <w:caps w:val="0"/>
          <w:color w:val="3D3D3D"/>
          <w:spacing w:val="0"/>
          <w:sz w:val="30"/>
          <w:szCs w:val="30"/>
          <w:shd w:val="clear" w:fill="FFFFFF"/>
          <w:lang w:eastAsia="zh-CN"/>
        </w:rPr>
        <w:t>，城乡社区支出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26.46万元</w:t>
      </w:r>
      <w:r>
        <w:rPr>
          <w:rFonts w:hint="eastAsia" w:asciiTheme="minorEastAsia" w:hAnsiTheme="minorEastAsia" w:eastAsiaTheme="minorEastAsia" w:cstheme="minorEastAsia"/>
          <w:i w:val="0"/>
          <w:iCs w:val="0"/>
          <w:caps w:val="0"/>
          <w:color w:val="3D3D3D"/>
          <w:spacing w:val="0"/>
          <w:sz w:val="30"/>
          <w:szCs w:val="30"/>
          <w:shd w:val="clear" w:fill="FFFFFF"/>
        </w:rPr>
        <w:t>，农林水支出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168.17</w:t>
      </w:r>
      <w:r>
        <w:rPr>
          <w:rFonts w:hint="eastAsia" w:asciiTheme="minorEastAsia" w:hAnsiTheme="minorEastAsia" w:eastAsiaTheme="minorEastAsia" w:cstheme="minorEastAsia"/>
          <w:i w:val="0"/>
          <w:iCs w:val="0"/>
          <w:caps w:val="0"/>
          <w:color w:val="3D3D3D"/>
          <w:spacing w:val="0"/>
          <w:sz w:val="30"/>
          <w:szCs w:val="30"/>
          <w:shd w:val="clear" w:fill="FFFFFF"/>
        </w:rPr>
        <w:t>万元，住房保障支出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32.73</w:t>
      </w:r>
      <w:r>
        <w:rPr>
          <w:rFonts w:hint="eastAsia" w:asciiTheme="minorEastAsia" w:hAnsiTheme="minorEastAsia" w:eastAsiaTheme="minorEastAsia" w:cstheme="minorEastAsia"/>
          <w:i w:val="0"/>
          <w:iCs w:val="0"/>
          <w:caps w:val="0"/>
          <w:color w:val="3D3D3D"/>
          <w:spacing w:val="0"/>
          <w:sz w:val="30"/>
          <w:szCs w:val="30"/>
          <w:shd w:val="clear" w:fill="FFFFFF"/>
        </w:rPr>
        <w:t>万元</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w:t>
      </w:r>
    </w:p>
    <w:p>
      <w:pPr>
        <w:pStyle w:val="7"/>
        <w:keepNext w:val="0"/>
        <w:keepLines w:val="0"/>
        <w:pageBreakBefore w:val="0"/>
        <w:kinsoku/>
        <w:wordWrap/>
        <w:overflowPunct/>
        <w:topLinePunct w:val="0"/>
        <w:bidi w:val="0"/>
        <w:snapToGrid/>
        <w:spacing w:line="240" w:lineRule="auto"/>
        <w:ind w:firstLine="600" w:firstLineChars="200"/>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kern w:val="0"/>
          <w:sz w:val="30"/>
          <w:szCs w:val="30"/>
          <w:shd w:val="clear" w:fill="FFFFFF"/>
          <w:lang w:val="en-US" w:eastAsia="zh-CN" w:bidi="ar-SA"/>
        </w:rPr>
        <w:t>2020年度财政拨款支出1123.37万元，主要用于以下方面：一般公共服务（类）支出819.19万元，占72.92%；社会保障和就业（类）支出76.82万元，占6.84%；城乡社区(类)支出26.46万元，占2.36%；农林水（类）支出168.17万元，占14.97%；住房保障（类）支出32.73万元，占2.91%。</w:t>
      </w:r>
    </w:p>
    <w:p>
      <w:pPr>
        <w:pStyle w:val="3"/>
        <w:bidi w:val="0"/>
        <w:rPr>
          <w:rFonts w:hint="eastAsia"/>
          <w:b/>
        </w:rPr>
      </w:pPr>
      <w:r>
        <w:rPr>
          <w:rFonts w:hint="eastAsia"/>
          <w:b/>
        </w:rPr>
        <w:t>（三）决算资金绩效目标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总体绩效目标：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lang w:eastAsia="zh-CN"/>
        </w:rPr>
        <w:t>2020</w:t>
      </w:r>
      <w:r>
        <w:rPr>
          <w:rFonts w:hint="eastAsia" w:asciiTheme="minorEastAsia" w:hAnsiTheme="minorEastAsia" w:eastAsiaTheme="minorEastAsia" w:cstheme="minorEastAsia"/>
          <w:i w:val="0"/>
          <w:iCs w:val="0"/>
          <w:caps w:val="0"/>
          <w:color w:val="3D3D3D"/>
          <w:spacing w:val="0"/>
          <w:sz w:val="30"/>
          <w:szCs w:val="30"/>
          <w:shd w:val="clear" w:fill="FFFFFF"/>
        </w:rPr>
        <w:t>年，全乡上下认真贯彻落实县委、县政府指示精神，脚踏实地，科学谋划，以推动经济转型发展为目标，以产业项目为突破口，以民生项目为保障，以生态环境整治、农村卫生治理、安全生产、信访维稳、脱贫攻坚为重点，严格按照高质量发展要求，实现全乡经济社会各项事业全面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shd w:val="clear" w:fill="FFFFFF"/>
          <w:lang w:val="en-US"/>
        </w:rPr>
      </w:pPr>
      <w:r>
        <w:rPr>
          <w:rFonts w:hint="eastAsia" w:asciiTheme="minorEastAsia" w:hAnsiTheme="minorEastAsia" w:eastAsiaTheme="minorEastAsia" w:cstheme="minorEastAsia"/>
          <w:i w:val="0"/>
          <w:iCs w:val="0"/>
          <w:caps w:val="0"/>
          <w:color w:val="3D3D3D"/>
          <w:spacing w:val="0"/>
          <w:sz w:val="30"/>
          <w:szCs w:val="30"/>
          <w:shd w:val="clear" w:fill="FFFFFF"/>
        </w:rPr>
        <w:t>年度绩效目标：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1、引导农民进行产业结构调整，培育主导产业，促进农民持续稳定增产、增收，发展农村经济，确保税收稳步增长。发挥财政的服务协调职能</w:t>
      </w:r>
      <w:r>
        <w:rPr>
          <w:rFonts w:hint="eastAsia" w:asciiTheme="minorEastAsia" w:hAnsiTheme="minorEastAsia" w:eastAsiaTheme="minorEastAsia" w:cstheme="minorEastAsia"/>
          <w:i w:val="0"/>
          <w:iCs w:val="0"/>
          <w:caps w:val="0"/>
          <w:color w:val="3D3D3D"/>
          <w:spacing w:val="0"/>
          <w:sz w:val="30"/>
          <w:szCs w:val="30"/>
          <w:shd w:val="clear" w:fill="FFFFFF"/>
          <w:lang w:eastAsia="zh-CN"/>
        </w:rPr>
        <w:t>，</w:t>
      </w:r>
      <w:r>
        <w:rPr>
          <w:rFonts w:hint="eastAsia" w:asciiTheme="minorEastAsia" w:hAnsiTheme="minorEastAsia" w:eastAsiaTheme="minorEastAsia" w:cstheme="minorEastAsia"/>
          <w:i w:val="0"/>
          <w:iCs w:val="0"/>
          <w:caps w:val="0"/>
          <w:color w:val="3D3D3D"/>
          <w:spacing w:val="0"/>
          <w:sz w:val="30"/>
          <w:szCs w:val="30"/>
          <w:shd w:val="clear" w:fill="FFFFFF"/>
        </w:rPr>
        <w:t>切实做好各项惠农补贴的发放</w:t>
      </w:r>
      <w:r>
        <w:rPr>
          <w:rFonts w:hint="eastAsia" w:asciiTheme="minorEastAsia" w:hAnsiTheme="minorEastAsia" w:eastAsiaTheme="minorEastAsia" w:cstheme="minorEastAsia"/>
          <w:i w:val="0"/>
          <w:iCs w:val="0"/>
          <w:caps w:val="0"/>
          <w:color w:val="3D3D3D"/>
          <w:spacing w:val="0"/>
          <w:sz w:val="30"/>
          <w:szCs w:val="30"/>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2、积极稳妥有序推进农村建设，加强农田水利基本建设，增强农业抗御自然灾害的能力；组织好科技和信息服务工作，提高农民现代信息技术水平；加强对农村劳动力的职业技能培训，扩大农村富余劳动力就业；做好防灾减灾、优抚安置、低保、扶贫救济等社会救助工作，加强农村残疾预防和残疾人康复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3、加强社会治安综合治理，维护社会安全秩序；认真做好人民群众的来访工作，维护、保障人民群众的合法权益；建立完善协调联动机制，搞好农村矛盾纠纷排查调处，及时化解农村社会矛盾。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4、发展党员数量，提高党员素质，加强基层党组织建设，增强农村基层干部队伍建设。发展党员数量质量提高，坚持全面从严治党要求，严肃党内政治生活，认真落实谈心谈话、民主生活会、组织生活会、“三会一课”等制度，推进“两学一做”学习教育常态化制度化，着力提高干部执行力；扎实开展抓党建促先进攻坚工作，发挥党建引领作用；加强基层党组织建设和党教育管理，发挥基层党组织战斗堡垒作用和党员先锋模范作用，为全乡各项中心工作开展提供有力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shd w:val="clear" w:fill="FFFFFF"/>
        </w:rPr>
      </w:pPr>
      <w:r>
        <w:rPr>
          <w:rFonts w:hint="eastAsia" w:asciiTheme="minorEastAsia" w:hAnsiTheme="minorEastAsia" w:eastAsiaTheme="minorEastAsia" w:cstheme="minorEastAsia"/>
          <w:i w:val="0"/>
          <w:iCs w:val="0"/>
          <w:caps w:val="0"/>
          <w:color w:val="3D3D3D"/>
          <w:spacing w:val="0"/>
          <w:sz w:val="30"/>
          <w:szCs w:val="30"/>
          <w:shd w:val="clear" w:fill="FFFFFF"/>
        </w:rPr>
        <w:t>5、完成思想政治工作重大任务，推进社会主义核心价值观落地生根，深入学习宣传十九大精神、习近平新时代中国特色社会主义思想，广泛开展理论宣传活动提升理论研究水平，为全乡经济社会发展提供理论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shd w:val="clear" w:fill="FFFFFF"/>
          <w:lang w:val="en-US"/>
        </w:rPr>
      </w:pP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6、疫情防控专项工作稳步推进。</w:t>
      </w:r>
      <w:r>
        <w:rPr>
          <w:rFonts w:hint="eastAsia" w:asciiTheme="minorEastAsia" w:hAnsiTheme="minorEastAsia" w:eastAsiaTheme="minorEastAsia" w:cstheme="minorEastAsia"/>
          <w:i w:val="0"/>
          <w:iCs w:val="0"/>
          <w:caps w:val="0"/>
          <w:color w:val="3D3D3D"/>
          <w:spacing w:val="0"/>
          <w:sz w:val="30"/>
          <w:szCs w:val="30"/>
          <w:shd w:val="clear" w:fill="FFFFFF"/>
          <w:lang w:val="en-US"/>
        </w:rPr>
        <w:t>一是本单位和疫情防控点的疫情防控工作，保证了单位和防控点的疫情防控安全；二是疫情防控宣传，保障社区居民对疫情严重性有深刻的认识，积极配合</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抗疫</w:t>
      </w:r>
      <w:r>
        <w:rPr>
          <w:rFonts w:hint="eastAsia" w:asciiTheme="minorEastAsia" w:hAnsiTheme="minorEastAsia" w:eastAsiaTheme="minorEastAsia" w:cstheme="minorEastAsia"/>
          <w:i w:val="0"/>
          <w:iCs w:val="0"/>
          <w:caps w:val="0"/>
          <w:color w:val="3D3D3D"/>
          <w:spacing w:val="0"/>
          <w:sz w:val="30"/>
          <w:szCs w:val="30"/>
          <w:shd w:val="clear" w:fill="FFFFFF"/>
          <w:lang w:val="en-US"/>
        </w:rPr>
        <w:t>工作开展，助力打赢疫情防控战。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shd w:val="clear" w:fill="FFFFFF"/>
          <w:lang w:val="en-US"/>
        </w:rPr>
      </w:pP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7、完善</w:t>
      </w:r>
      <w:r>
        <w:rPr>
          <w:rFonts w:hint="eastAsia" w:asciiTheme="minorEastAsia" w:hAnsiTheme="minorEastAsia" w:eastAsiaTheme="minorEastAsia" w:cstheme="minorEastAsia"/>
          <w:i w:val="0"/>
          <w:iCs w:val="0"/>
          <w:caps w:val="0"/>
          <w:color w:val="3D3D3D"/>
          <w:spacing w:val="0"/>
          <w:sz w:val="30"/>
          <w:szCs w:val="30"/>
          <w:shd w:val="clear" w:fill="FFFFFF"/>
          <w:lang w:val="en-US"/>
        </w:rPr>
        <w:t>基础设施。一是饮水工程建设，2020年来，对纪岩、莲花等村进行了饮水工程建设，总投资25万元，受益人群达3000余人，对前塘村进行渠道维修2000余米，总投资20余万。二是对病险水库进行除险加固，2020年上半年完成了对岩湾水库进行堤坝除险加固，总投资82万元，恢复正常运作的岩湾水库将对1000余亩农田灌溉受益，受益人群达2000多人。三是完成王家村张家自然村2.1公里公路建设，总投资100余万。</w:t>
      </w:r>
    </w:p>
    <w:p>
      <w:pPr>
        <w:pStyle w:val="2"/>
        <w:bidi w:val="0"/>
        <w:rPr>
          <w:rFonts w:hint="eastAsia"/>
        </w:rPr>
      </w:pPr>
      <w:r>
        <w:rPr>
          <w:rFonts w:hint="eastAsia"/>
        </w:rPr>
        <w:t>二、决算资金使用及管理情况</w:t>
      </w:r>
    </w:p>
    <w:p>
      <w:pPr>
        <w:pStyle w:val="3"/>
        <w:bidi w:val="0"/>
        <w:rPr>
          <w:rFonts w:hint="eastAsia"/>
        </w:rPr>
      </w:pPr>
      <w:r>
        <w:rPr>
          <w:rFonts w:hint="eastAsia"/>
        </w:rPr>
        <w:t>（一）决算资金的安排落实、总投入等情况。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lang w:eastAsia="zh-CN"/>
        </w:rPr>
        <w:t>2020</w:t>
      </w:r>
      <w:r>
        <w:rPr>
          <w:rFonts w:hint="eastAsia" w:asciiTheme="minorEastAsia" w:hAnsiTheme="minorEastAsia" w:eastAsiaTheme="minorEastAsia" w:cstheme="minorEastAsia"/>
          <w:i w:val="0"/>
          <w:iCs w:val="0"/>
          <w:caps w:val="0"/>
          <w:color w:val="3D3D3D"/>
          <w:spacing w:val="0"/>
          <w:sz w:val="30"/>
          <w:szCs w:val="30"/>
          <w:shd w:val="clear" w:fill="FFFFFF"/>
        </w:rPr>
        <w:t>年度共取得收入合计</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1186.11</w:t>
      </w:r>
      <w:r>
        <w:rPr>
          <w:rFonts w:hint="eastAsia" w:asciiTheme="minorEastAsia" w:hAnsiTheme="minorEastAsia" w:eastAsiaTheme="minorEastAsia" w:cstheme="minorEastAsia"/>
          <w:i w:val="0"/>
          <w:iCs w:val="0"/>
          <w:caps w:val="0"/>
          <w:color w:val="3D3D3D"/>
          <w:spacing w:val="0"/>
          <w:sz w:val="30"/>
          <w:szCs w:val="30"/>
          <w:shd w:val="clear" w:fill="FFFFFF"/>
        </w:rPr>
        <w:t>万元， 其中：财政拨款收入</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1186.08</w:t>
      </w:r>
      <w:r>
        <w:rPr>
          <w:rFonts w:hint="eastAsia" w:asciiTheme="minorEastAsia" w:hAnsiTheme="minorEastAsia" w:eastAsiaTheme="minorEastAsia" w:cstheme="minorEastAsia"/>
          <w:i w:val="0"/>
          <w:iCs w:val="0"/>
          <w:caps w:val="0"/>
          <w:color w:val="3D3D3D"/>
          <w:spacing w:val="0"/>
          <w:sz w:val="30"/>
          <w:szCs w:val="30"/>
          <w:shd w:val="clear" w:fill="FFFFFF"/>
        </w:rPr>
        <w:t xml:space="preserve">万元，占 </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99.99</w:t>
      </w:r>
      <w:r>
        <w:rPr>
          <w:rFonts w:hint="eastAsia" w:asciiTheme="minorEastAsia" w:hAnsiTheme="minorEastAsia" w:eastAsiaTheme="minorEastAsia" w:cstheme="minorEastAsia"/>
          <w:i w:val="0"/>
          <w:iCs w:val="0"/>
          <w:caps w:val="0"/>
          <w:color w:val="3D3D3D"/>
          <w:spacing w:val="0"/>
          <w:sz w:val="30"/>
          <w:szCs w:val="30"/>
          <w:shd w:val="clear" w:fill="FFFFFF"/>
        </w:rPr>
        <w:t>%；事业收入 0 万元，占 0%；经营收入 0 万元， 占 0%； 其他收入</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0.03</w:t>
      </w:r>
      <w:r>
        <w:rPr>
          <w:rFonts w:hint="eastAsia" w:asciiTheme="minorEastAsia" w:hAnsiTheme="minorEastAsia" w:eastAsiaTheme="minorEastAsia" w:cstheme="minorEastAsia"/>
          <w:i w:val="0"/>
          <w:iCs w:val="0"/>
          <w:caps w:val="0"/>
          <w:color w:val="3D3D3D"/>
          <w:spacing w:val="0"/>
          <w:sz w:val="30"/>
          <w:szCs w:val="30"/>
          <w:shd w:val="clear" w:fill="FFFFFF"/>
        </w:rPr>
        <w:t xml:space="preserve">万元，占 </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0.01</w:t>
      </w:r>
      <w:r>
        <w:rPr>
          <w:rFonts w:hint="eastAsia" w:asciiTheme="minorEastAsia" w:hAnsiTheme="minorEastAsia" w:eastAsiaTheme="minorEastAsia" w:cstheme="minorEastAsia"/>
          <w:i w:val="0"/>
          <w:iCs w:val="0"/>
          <w:caps w:val="0"/>
          <w:color w:val="3D3D3D"/>
          <w:spacing w:val="0"/>
          <w:sz w:val="30"/>
          <w:szCs w:val="30"/>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lang w:eastAsia="zh-CN"/>
        </w:rPr>
        <w:t>2020</w:t>
      </w:r>
      <w:r>
        <w:rPr>
          <w:rFonts w:hint="eastAsia" w:asciiTheme="minorEastAsia" w:hAnsiTheme="minorEastAsia" w:eastAsiaTheme="minorEastAsia" w:cstheme="minorEastAsia"/>
          <w:i w:val="0"/>
          <w:iCs w:val="0"/>
          <w:caps w:val="0"/>
          <w:color w:val="3D3D3D"/>
          <w:spacing w:val="0"/>
          <w:sz w:val="30"/>
          <w:szCs w:val="30"/>
          <w:shd w:val="clear" w:fill="FFFFFF"/>
        </w:rPr>
        <w:t>年度共发生支出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1123.37</w:t>
      </w:r>
      <w:r>
        <w:rPr>
          <w:rFonts w:hint="eastAsia" w:asciiTheme="minorEastAsia" w:hAnsiTheme="minorEastAsia" w:eastAsiaTheme="minorEastAsia" w:cstheme="minorEastAsia"/>
          <w:i w:val="0"/>
          <w:iCs w:val="0"/>
          <w:caps w:val="0"/>
          <w:color w:val="3D3D3D"/>
          <w:spacing w:val="0"/>
          <w:sz w:val="30"/>
          <w:szCs w:val="30"/>
          <w:shd w:val="clear" w:fill="FFFFFF"/>
        </w:rPr>
        <w:t>万元 ，其中：基本支出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964.09</w:t>
      </w:r>
      <w:r>
        <w:rPr>
          <w:rFonts w:hint="eastAsia" w:asciiTheme="minorEastAsia" w:hAnsiTheme="minorEastAsia" w:eastAsiaTheme="minorEastAsia" w:cstheme="minorEastAsia"/>
          <w:i w:val="0"/>
          <w:iCs w:val="0"/>
          <w:caps w:val="0"/>
          <w:color w:val="3D3D3D"/>
          <w:spacing w:val="0"/>
          <w:sz w:val="30"/>
          <w:szCs w:val="30"/>
          <w:shd w:val="clear" w:fill="FFFFFF"/>
        </w:rPr>
        <w:t>万元，占</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85.82</w:t>
      </w:r>
      <w:r>
        <w:rPr>
          <w:rFonts w:hint="eastAsia" w:asciiTheme="minorEastAsia" w:hAnsiTheme="minorEastAsia" w:eastAsiaTheme="minorEastAsia" w:cstheme="minorEastAsia"/>
          <w:i w:val="0"/>
          <w:iCs w:val="0"/>
          <w:caps w:val="0"/>
          <w:color w:val="3D3D3D"/>
          <w:spacing w:val="0"/>
          <w:sz w:val="30"/>
          <w:szCs w:val="30"/>
          <w:shd w:val="clear" w:fill="FFFFFF"/>
        </w:rPr>
        <w:t xml:space="preserve">% ； 项目支出 </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159.28</w:t>
      </w:r>
      <w:r>
        <w:rPr>
          <w:rFonts w:hint="eastAsia" w:asciiTheme="minorEastAsia" w:hAnsiTheme="minorEastAsia" w:eastAsiaTheme="minorEastAsia" w:cstheme="minorEastAsia"/>
          <w:i w:val="0"/>
          <w:iCs w:val="0"/>
          <w:caps w:val="0"/>
          <w:color w:val="3D3D3D"/>
          <w:spacing w:val="0"/>
          <w:sz w:val="30"/>
          <w:szCs w:val="30"/>
          <w:shd w:val="clear" w:fill="FFFFFF"/>
        </w:rPr>
        <w:t xml:space="preserve"> 万元，占 </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14.18</w:t>
      </w:r>
      <w:r>
        <w:rPr>
          <w:rFonts w:hint="eastAsia" w:asciiTheme="minorEastAsia" w:hAnsiTheme="minorEastAsia" w:eastAsiaTheme="minorEastAsia" w:cstheme="minorEastAsia"/>
          <w:i w:val="0"/>
          <w:iCs w:val="0"/>
          <w:caps w:val="0"/>
          <w:color w:val="3D3D3D"/>
          <w:spacing w:val="0"/>
          <w:sz w:val="30"/>
          <w:szCs w:val="30"/>
          <w:shd w:val="clear" w:fill="FFFFFF"/>
        </w:rPr>
        <w:t>%；经营支出 0 万元，占 0%。</w:t>
      </w:r>
    </w:p>
    <w:p>
      <w:pPr>
        <w:pStyle w:val="3"/>
        <w:bidi w:val="0"/>
        <w:rPr>
          <w:rFonts w:hint="eastAsia"/>
        </w:rPr>
      </w:pPr>
      <w:r>
        <w:rPr>
          <w:rFonts w:hint="eastAsia"/>
        </w:rPr>
        <w:t>（二）决算资金实际使用情况。</w:t>
      </w:r>
    </w:p>
    <w:p>
      <w:pPr>
        <w:pStyle w:val="7"/>
        <w:keepNext w:val="0"/>
        <w:keepLines w:val="0"/>
        <w:pageBreakBefore w:val="0"/>
        <w:kinsoku/>
        <w:wordWrap/>
        <w:overflowPunct/>
        <w:topLinePunct w:val="0"/>
        <w:bidi w:val="0"/>
        <w:snapToGrid/>
        <w:spacing w:line="240" w:lineRule="auto"/>
        <w:ind w:firstLine="600" w:firstLineChars="200"/>
        <w:textAlignment w:val="auto"/>
        <w:rPr>
          <w:rFonts w:asciiTheme="minorEastAsia" w:hAnsiTheme="minorEastAsia" w:eastAsiaTheme="minorEastAsia"/>
          <w:sz w:val="32"/>
          <w:szCs w:val="32"/>
        </w:rPr>
      </w:pPr>
      <w:r>
        <w:rPr>
          <w:rFonts w:hint="eastAsia" w:asciiTheme="minorEastAsia" w:hAnsiTheme="minorEastAsia" w:eastAsiaTheme="minorEastAsia" w:cstheme="minorEastAsia"/>
          <w:i w:val="0"/>
          <w:iCs w:val="0"/>
          <w:caps w:val="0"/>
          <w:color w:val="3D3D3D"/>
          <w:spacing w:val="0"/>
          <w:sz w:val="30"/>
          <w:szCs w:val="30"/>
          <w:shd w:val="clear" w:fill="FFFFFF"/>
          <w:lang w:eastAsia="zh-CN"/>
        </w:rPr>
        <w:t>2020</w:t>
      </w:r>
      <w:r>
        <w:rPr>
          <w:rFonts w:hint="eastAsia" w:asciiTheme="minorEastAsia" w:hAnsiTheme="minorEastAsia" w:eastAsiaTheme="minorEastAsia" w:cstheme="minorEastAsia"/>
          <w:i w:val="0"/>
          <w:iCs w:val="0"/>
          <w:caps w:val="0"/>
          <w:color w:val="3D3D3D"/>
          <w:spacing w:val="0"/>
          <w:sz w:val="30"/>
          <w:szCs w:val="30"/>
          <w:shd w:val="clear" w:fill="FFFFFF"/>
        </w:rPr>
        <w:t>年度共发生财政拨款支出</w:t>
      </w:r>
      <w:r>
        <w:rPr>
          <w:rFonts w:hint="eastAsia" w:asciiTheme="minorEastAsia" w:hAnsiTheme="minorEastAsia" w:eastAsiaTheme="minorEastAsia" w:cstheme="minorEastAsia"/>
          <w:i w:val="0"/>
          <w:iCs w:val="0"/>
          <w:caps w:val="0"/>
          <w:color w:val="3D3D3D"/>
          <w:spacing w:val="0"/>
          <w:kern w:val="0"/>
          <w:sz w:val="30"/>
          <w:szCs w:val="30"/>
          <w:shd w:val="clear" w:fill="FFFFFF"/>
          <w:lang w:val="en-US" w:eastAsia="zh-CN" w:bidi="ar-SA"/>
        </w:rPr>
        <w:t>1123.37万元</w:t>
      </w:r>
      <w:r>
        <w:rPr>
          <w:rFonts w:hint="eastAsia" w:asciiTheme="minorEastAsia" w:hAnsiTheme="minorEastAsia" w:eastAsiaTheme="minorEastAsia" w:cstheme="minorEastAsia"/>
          <w:i w:val="0"/>
          <w:iCs w:val="0"/>
          <w:caps w:val="0"/>
          <w:color w:val="3D3D3D"/>
          <w:spacing w:val="0"/>
          <w:sz w:val="30"/>
          <w:szCs w:val="30"/>
          <w:shd w:val="clear" w:fill="FFFFFF"/>
        </w:rPr>
        <w:t>，其中基本支出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964.09</w:t>
      </w:r>
      <w:r>
        <w:rPr>
          <w:rFonts w:hint="eastAsia" w:asciiTheme="minorEastAsia" w:hAnsiTheme="minorEastAsia" w:eastAsiaTheme="minorEastAsia" w:cstheme="minorEastAsia"/>
          <w:i w:val="0"/>
          <w:iCs w:val="0"/>
          <w:caps w:val="0"/>
          <w:color w:val="3D3D3D"/>
          <w:spacing w:val="0"/>
          <w:sz w:val="30"/>
          <w:szCs w:val="30"/>
          <w:shd w:val="clear" w:fill="FFFFFF"/>
        </w:rPr>
        <w:t>万元，占支出的</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85.82</w:t>
      </w:r>
      <w:r>
        <w:rPr>
          <w:rFonts w:hint="eastAsia" w:asciiTheme="minorEastAsia" w:hAnsiTheme="minorEastAsia" w:eastAsiaTheme="minorEastAsia" w:cstheme="minorEastAsia"/>
          <w:i w:val="0"/>
          <w:iCs w:val="0"/>
          <w:caps w:val="0"/>
          <w:color w:val="3D3D3D"/>
          <w:spacing w:val="0"/>
          <w:sz w:val="30"/>
          <w:szCs w:val="30"/>
          <w:shd w:val="clear" w:fill="FFFFFF"/>
        </w:rPr>
        <w:t>%；项目支出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159.28</w:t>
      </w:r>
      <w:r>
        <w:rPr>
          <w:rFonts w:hint="eastAsia" w:asciiTheme="minorEastAsia" w:hAnsiTheme="minorEastAsia" w:eastAsiaTheme="minorEastAsia" w:cstheme="minorEastAsia"/>
          <w:i w:val="0"/>
          <w:iCs w:val="0"/>
          <w:caps w:val="0"/>
          <w:color w:val="3D3D3D"/>
          <w:spacing w:val="0"/>
          <w:sz w:val="30"/>
          <w:szCs w:val="30"/>
          <w:shd w:val="clear" w:fill="FFFFFF"/>
        </w:rPr>
        <w:t>万元，占支出的</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14.18</w:t>
      </w:r>
      <w:r>
        <w:rPr>
          <w:rFonts w:hint="eastAsia" w:asciiTheme="minorEastAsia" w:hAnsiTheme="minorEastAsia" w:eastAsiaTheme="minorEastAsia" w:cstheme="minorEastAsia"/>
          <w:i w:val="0"/>
          <w:iCs w:val="0"/>
          <w:caps w:val="0"/>
          <w:color w:val="3D3D3D"/>
          <w:spacing w:val="0"/>
          <w:sz w:val="30"/>
          <w:szCs w:val="30"/>
          <w:shd w:val="clear" w:fill="FFFFFF"/>
        </w:rPr>
        <w:t>%。 主要用于以下方面：</w:t>
      </w:r>
      <w:r>
        <w:rPr>
          <w:rFonts w:hint="eastAsia" w:asciiTheme="minorEastAsia" w:hAnsiTheme="minorEastAsia" w:eastAsiaTheme="minorEastAsia" w:cstheme="minorEastAsia"/>
          <w:i w:val="0"/>
          <w:iCs w:val="0"/>
          <w:caps w:val="0"/>
          <w:color w:val="3D3D3D"/>
          <w:spacing w:val="0"/>
          <w:kern w:val="0"/>
          <w:sz w:val="30"/>
          <w:szCs w:val="30"/>
          <w:shd w:val="clear" w:fill="FFFFFF"/>
          <w:lang w:val="en-US" w:eastAsia="zh-CN" w:bidi="ar-SA"/>
        </w:rPr>
        <w:t>一般公共服务（类）支出819.19万元，占72.92%；社会保障和就业（类）支出76.82万元，占6.84%；城乡社区(类)支出26.46万元，占2.36%；农林水（类）支出168.17万元，占14.97%；住房保障（类）支出32.73万元，占2.91%</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w:t>
      </w:r>
    </w:p>
    <w:p>
      <w:pPr>
        <w:pStyle w:val="3"/>
        <w:bidi w:val="0"/>
        <w:rPr>
          <w:rFonts w:hint="eastAsia"/>
        </w:rPr>
      </w:pPr>
      <w:r>
        <w:rPr>
          <w:rFonts w:hint="eastAsia"/>
        </w:rPr>
        <w:t>（三）决算资金管理情况分析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1、预决算编制情况。我乡及时组织财务人员进行预决算的编制，对本年度相应用款进行及时清理和处理，做到账账相符、账实相符、账证相符，按先有预算再支出的原则，及时处理相关事务；对年度绩效目标进行季度梳理和年度分析，及时上报相关报表；对专项预算提前细化，分科目上报，做到收支平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2、执行管理情况。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我乡按照县财政的要求，及时分月、分季度上报相应计划，待县财政审核通过后，严格按计划执行，各季度执行情况良好。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基本支出</w:t>
      </w:r>
      <w:r>
        <w:rPr>
          <w:rFonts w:hint="eastAsia" w:asciiTheme="minorEastAsia" w:hAnsiTheme="minorEastAsia" w:eastAsiaTheme="minorEastAsia" w:cstheme="minorEastAsia"/>
          <w:i w:val="0"/>
          <w:iCs w:val="0"/>
          <w:caps w:val="0"/>
          <w:color w:val="3D3D3D"/>
          <w:spacing w:val="0"/>
          <w:sz w:val="30"/>
          <w:szCs w:val="30"/>
          <w:shd w:val="clear" w:fill="FFFFFF"/>
          <w:lang w:eastAsia="zh-CN"/>
        </w:rPr>
        <w:t>2020</w:t>
      </w:r>
      <w:r>
        <w:rPr>
          <w:rFonts w:hint="eastAsia" w:asciiTheme="minorEastAsia" w:hAnsiTheme="minorEastAsia" w:eastAsiaTheme="minorEastAsia" w:cstheme="minorEastAsia"/>
          <w:i w:val="0"/>
          <w:iCs w:val="0"/>
          <w:caps w:val="0"/>
          <w:color w:val="3D3D3D"/>
          <w:spacing w:val="0"/>
          <w:sz w:val="30"/>
          <w:szCs w:val="30"/>
          <w:shd w:val="clear" w:fill="FFFFFF"/>
        </w:rPr>
        <w:t>年按月进行申报，其中日常公用经费按月进行申报并支付，截至6月执行进度50%，9月执行进度75%，12月执行进度100%。项目支出按月申报并授权支付，其中1-6月执行进度30%，1-9月执行进度数65%，1-12月执行进度100%。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lang w:eastAsia="zh-CN"/>
        </w:rPr>
        <w:t>2020</w:t>
      </w:r>
      <w:r>
        <w:rPr>
          <w:rFonts w:hint="eastAsia" w:asciiTheme="minorEastAsia" w:hAnsiTheme="minorEastAsia" w:eastAsiaTheme="minorEastAsia" w:cstheme="minorEastAsia"/>
          <w:i w:val="0"/>
          <w:iCs w:val="0"/>
          <w:caps w:val="0"/>
          <w:color w:val="3D3D3D"/>
          <w:spacing w:val="0"/>
          <w:sz w:val="30"/>
          <w:szCs w:val="30"/>
          <w:shd w:val="clear" w:fill="FFFFFF"/>
        </w:rPr>
        <w:t>年一般公共服务支出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819.19</w:t>
      </w:r>
      <w:r>
        <w:rPr>
          <w:rFonts w:hint="eastAsia" w:asciiTheme="minorEastAsia" w:hAnsiTheme="minorEastAsia" w:eastAsiaTheme="minorEastAsia" w:cstheme="minorEastAsia"/>
          <w:i w:val="0"/>
          <w:iCs w:val="0"/>
          <w:caps w:val="0"/>
          <w:color w:val="3D3D3D"/>
          <w:spacing w:val="0"/>
          <w:sz w:val="30"/>
          <w:szCs w:val="30"/>
          <w:shd w:val="clear" w:fill="FFFFFF"/>
        </w:rPr>
        <w:t>万元，主要用于机关干部基本工资、津补贴、奖金、绩效工资、社保缴费、工会、福利费等支出，以及保证机关日常正常运转产生的办公费、其他人员工资、公务用车运行维护、维修费、设备购置费、水电费、邮电费、差旅费、会议费、培训费、接待费、其他商品服务支出等；社会保障和就业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76.82</w:t>
      </w:r>
      <w:r>
        <w:rPr>
          <w:rFonts w:hint="eastAsia" w:asciiTheme="minorEastAsia" w:hAnsiTheme="minorEastAsia" w:eastAsiaTheme="minorEastAsia" w:cstheme="minorEastAsia"/>
          <w:i w:val="0"/>
          <w:iCs w:val="0"/>
          <w:caps w:val="0"/>
          <w:color w:val="3D3D3D"/>
          <w:spacing w:val="0"/>
          <w:sz w:val="30"/>
          <w:szCs w:val="30"/>
          <w:shd w:val="clear" w:fill="FFFFFF"/>
        </w:rPr>
        <w:t>万元主要用于机关事业单位基本养老保险缴费、机关事业单位职业年金缴费、临时救助支出、其他农村生活救助、抚恤金、其他社会保险基金的补助支出；城乡社区支出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26.46万元主要用于征地和拆迁补偿支出；</w:t>
      </w:r>
      <w:r>
        <w:rPr>
          <w:rFonts w:hint="eastAsia" w:asciiTheme="minorEastAsia" w:hAnsiTheme="minorEastAsia" w:eastAsiaTheme="minorEastAsia" w:cstheme="minorEastAsia"/>
          <w:i w:val="0"/>
          <w:iCs w:val="0"/>
          <w:caps w:val="0"/>
          <w:color w:val="3D3D3D"/>
          <w:spacing w:val="0"/>
          <w:sz w:val="30"/>
          <w:szCs w:val="30"/>
          <w:shd w:val="clear" w:fill="FFFFFF"/>
        </w:rPr>
        <w:t>农林水支出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168.17</w:t>
      </w:r>
      <w:r>
        <w:rPr>
          <w:rFonts w:hint="eastAsia" w:asciiTheme="minorEastAsia" w:hAnsiTheme="minorEastAsia" w:eastAsiaTheme="minorEastAsia" w:cstheme="minorEastAsia"/>
          <w:i w:val="0"/>
          <w:iCs w:val="0"/>
          <w:caps w:val="0"/>
          <w:color w:val="3D3D3D"/>
          <w:spacing w:val="0"/>
          <w:sz w:val="30"/>
          <w:szCs w:val="30"/>
          <w:shd w:val="clear" w:fill="FFFFFF"/>
        </w:rPr>
        <w:t>万元主要用于村公共服务平台工程、土地补偿支出；住房保障支出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32.73万元</w:t>
      </w:r>
      <w:r>
        <w:rPr>
          <w:rFonts w:hint="eastAsia" w:asciiTheme="minorEastAsia" w:hAnsiTheme="minorEastAsia" w:eastAsiaTheme="minorEastAsia" w:cstheme="minorEastAsia"/>
          <w:i w:val="0"/>
          <w:iCs w:val="0"/>
          <w:caps w:val="0"/>
          <w:color w:val="3D3D3D"/>
          <w:spacing w:val="0"/>
          <w:sz w:val="30"/>
          <w:szCs w:val="30"/>
          <w:shd w:val="clear" w:fill="FFFFFF"/>
        </w:rPr>
        <w:t>，主要用于住房公积金缴费。</w:t>
      </w:r>
    </w:p>
    <w:p>
      <w:pPr>
        <w:pStyle w:val="2"/>
        <w:bidi w:val="0"/>
        <w:rPr>
          <w:rFonts w:hint="eastAsia"/>
        </w:rPr>
      </w:pPr>
      <w:r>
        <w:rPr>
          <w:rFonts w:hint="eastAsia"/>
        </w:rPr>
        <w:t>三、决算支出组织实施情况</w:t>
      </w:r>
    </w:p>
    <w:p>
      <w:pPr>
        <w:pStyle w:val="3"/>
        <w:bidi w:val="0"/>
        <w:rPr>
          <w:rFonts w:hint="eastAsia"/>
        </w:rPr>
      </w:pPr>
      <w:r>
        <w:rPr>
          <w:rFonts w:hint="eastAsia"/>
        </w:rPr>
        <w:t>（一）资金使用管理情况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我乡严格执行各项财务管理制度，强化资金管理和使用。通过加强预算收支管理，不断健全《</w:t>
      </w:r>
      <w:r>
        <w:rPr>
          <w:rFonts w:hint="eastAsia" w:asciiTheme="minorEastAsia" w:hAnsiTheme="minorEastAsia" w:eastAsiaTheme="minorEastAsia" w:cstheme="minorEastAsia"/>
          <w:i w:val="0"/>
          <w:iCs w:val="0"/>
          <w:caps w:val="0"/>
          <w:color w:val="3D3D3D"/>
          <w:spacing w:val="0"/>
          <w:sz w:val="30"/>
          <w:szCs w:val="30"/>
          <w:shd w:val="clear" w:fill="FFFFFF"/>
          <w:lang w:eastAsia="zh-CN"/>
        </w:rPr>
        <w:t>后塘瑶族</w:t>
      </w:r>
      <w:r>
        <w:rPr>
          <w:rFonts w:hint="eastAsia" w:asciiTheme="minorEastAsia" w:hAnsiTheme="minorEastAsia" w:eastAsiaTheme="minorEastAsia" w:cstheme="minorEastAsia"/>
          <w:i w:val="0"/>
          <w:iCs w:val="0"/>
          <w:caps w:val="0"/>
          <w:color w:val="3D3D3D"/>
          <w:spacing w:val="0"/>
          <w:sz w:val="30"/>
          <w:szCs w:val="30"/>
          <w:shd w:val="clear" w:fill="FFFFFF"/>
        </w:rPr>
        <w:t>乡内部控制制度》，梳理内部管理流程，管好用好每笔资金，杜绝违规违法事件的发生。财务活动及时进行会计核算，对项目资金、政府采购进行公开公示，接受审计、财政监督、纪检监察等部门的监督检查。</w:t>
      </w:r>
    </w:p>
    <w:p>
      <w:pPr>
        <w:pStyle w:val="3"/>
        <w:bidi w:val="0"/>
        <w:rPr>
          <w:rFonts w:hint="eastAsia"/>
        </w:rPr>
      </w:pPr>
      <w:r>
        <w:rPr>
          <w:rFonts w:hint="eastAsia"/>
        </w:rPr>
        <w:t>（二）项目组织实施情况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由</w:t>
      </w:r>
      <w:r>
        <w:rPr>
          <w:rFonts w:hint="eastAsia" w:asciiTheme="minorEastAsia" w:hAnsiTheme="minorEastAsia" w:eastAsiaTheme="minorEastAsia" w:cstheme="minorEastAsia"/>
          <w:i w:val="0"/>
          <w:iCs w:val="0"/>
          <w:caps w:val="0"/>
          <w:color w:val="3D3D3D"/>
          <w:spacing w:val="0"/>
          <w:sz w:val="30"/>
          <w:szCs w:val="30"/>
          <w:shd w:val="clear" w:fill="FFFFFF"/>
          <w:lang w:eastAsia="zh-CN"/>
        </w:rPr>
        <w:t>后塘瑶族</w:t>
      </w:r>
      <w:r>
        <w:rPr>
          <w:rFonts w:hint="eastAsia" w:asciiTheme="minorEastAsia" w:hAnsiTheme="minorEastAsia" w:eastAsiaTheme="minorEastAsia" w:cstheme="minorEastAsia"/>
          <w:i w:val="0"/>
          <w:iCs w:val="0"/>
          <w:caps w:val="0"/>
          <w:color w:val="3D3D3D"/>
          <w:spacing w:val="0"/>
          <w:sz w:val="30"/>
          <w:szCs w:val="30"/>
          <w:shd w:val="clear" w:fill="FFFFFF"/>
        </w:rPr>
        <w:t>乡人民政府组织实施，经村支两委研究，按照“四议两公开”的程序，将基础建设发包给有经验的个体，并要求村项目理事会小组做好项目的跟踪问效工作，监督好项目的事前、事中、事后及项目公示情况。</w:t>
      </w:r>
    </w:p>
    <w:p>
      <w:pPr>
        <w:pStyle w:val="2"/>
        <w:bidi w:val="0"/>
        <w:rPr>
          <w:rFonts w:hint="eastAsia"/>
        </w:rPr>
      </w:pPr>
      <w:r>
        <w:rPr>
          <w:rFonts w:hint="eastAsia"/>
        </w:rPr>
        <w:t>四、决算支出绩效情况</w:t>
      </w:r>
    </w:p>
    <w:p>
      <w:pPr>
        <w:pStyle w:val="3"/>
        <w:bidi w:val="0"/>
        <w:rPr>
          <w:rFonts w:hint="eastAsia"/>
        </w:rPr>
      </w:pPr>
      <w:r>
        <w:rPr>
          <w:rFonts w:hint="eastAsia"/>
        </w:rPr>
        <w:t>（一）决算支出决策情况。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项目与部门中长期规划目标相匹配，立项依据充分，与部门职责匹配，项目立项规范。绩效目标设定与事业发展规划相关，与年度预算相匹配，但绩效目标未细化分解为清晰、可衡量的绩效指标。</w:t>
      </w:r>
    </w:p>
    <w:p>
      <w:pPr>
        <w:pStyle w:val="3"/>
        <w:bidi w:val="0"/>
        <w:rPr>
          <w:rFonts w:hint="eastAsia"/>
        </w:rPr>
      </w:pPr>
      <w:r>
        <w:rPr>
          <w:rFonts w:hint="eastAsia"/>
        </w:rPr>
        <w:t>（二）决算支出过程情况。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1、部门支出绩效。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（1）行政运转保障。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lang w:eastAsia="zh-CN"/>
        </w:rPr>
        <w:t>后塘瑶族</w:t>
      </w:r>
      <w:r>
        <w:rPr>
          <w:rFonts w:hint="eastAsia" w:asciiTheme="minorEastAsia" w:hAnsiTheme="minorEastAsia" w:eastAsiaTheme="minorEastAsia" w:cstheme="minorEastAsia"/>
          <w:i w:val="0"/>
          <w:iCs w:val="0"/>
          <w:caps w:val="0"/>
          <w:color w:val="3D3D3D"/>
          <w:spacing w:val="0"/>
          <w:sz w:val="30"/>
          <w:szCs w:val="30"/>
          <w:shd w:val="clear" w:fill="FFFFFF"/>
        </w:rPr>
        <w:t>乡人民政府财政拨款支出主要用于保障我乡部门机构正常运转、完成日常工作任务以及承担本乡事业发展相关工作。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基本支出，是用于保障政府机关、事业单位等机构正常运转的日常支出，包括基本工资、津贴补贴等人员经费以及办公费、印刷费、水电费、办公设备购置等日常公用经费。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项目支出，是用于保障政府机关、事业单位等机构为完成特定的行政工作任务或事业发展目标，用于专项业务等基础设施建设与维护等工作经费支出。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按支出功能分类主要用于以下方面：一般公共服务，社会保障和就业，卫生健康，城乡社区，农林水，住房保障等支出。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（2）机关厉行节约。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我乡认真执行中央“八项”规定，秉承“开源节流，量入为出”的宗旨，严格控制“三公”经费等支出。</w:t>
      </w:r>
      <w:r>
        <w:rPr>
          <w:rFonts w:hint="eastAsia" w:asciiTheme="minorEastAsia" w:hAnsiTheme="minorEastAsia" w:eastAsiaTheme="minorEastAsia" w:cstheme="minorEastAsia"/>
          <w:i w:val="0"/>
          <w:iCs w:val="0"/>
          <w:caps w:val="0"/>
          <w:color w:val="3D3D3D"/>
          <w:spacing w:val="0"/>
          <w:sz w:val="30"/>
          <w:szCs w:val="30"/>
          <w:shd w:val="clear" w:fill="FFFFFF"/>
          <w:lang w:eastAsia="zh-CN"/>
        </w:rPr>
        <w:t>2020</w:t>
      </w:r>
      <w:r>
        <w:rPr>
          <w:rFonts w:hint="eastAsia" w:asciiTheme="minorEastAsia" w:hAnsiTheme="minorEastAsia" w:eastAsiaTheme="minorEastAsia" w:cstheme="minorEastAsia"/>
          <w:i w:val="0"/>
          <w:iCs w:val="0"/>
          <w:caps w:val="0"/>
          <w:color w:val="3D3D3D"/>
          <w:spacing w:val="0"/>
          <w:sz w:val="30"/>
          <w:szCs w:val="30"/>
          <w:shd w:val="clear" w:fill="FFFFFF"/>
        </w:rPr>
        <w:t>年度“三公”经费财政拨款支出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25.64</w:t>
      </w:r>
      <w:r>
        <w:rPr>
          <w:rFonts w:hint="eastAsia" w:asciiTheme="minorEastAsia" w:hAnsiTheme="minorEastAsia" w:eastAsiaTheme="minorEastAsia" w:cstheme="minorEastAsia"/>
          <w:i w:val="0"/>
          <w:iCs w:val="0"/>
          <w:caps w:val="0"/>
          <w:color w:val="3D3D3D"/>
          <w:spacing w:val="0"/>
          <w:sz w:val="30"/>
          <w:szCs w:val="30"/>
          <w:shd w:val="clear" w:fill="FFFFFF"/>
        </w:rPr>
        <w:t>万元，完成年初预算的</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86.89</w:t>
      </w:r>
      <w:r>
        <w:rPr>
          <w:rFonts w:hint="eastAsia" w:asciiTheme="minorEastAsia" w:hAnsiTheme="minorEastAsia" w:eastAsiaTheme="minorEastAsia" w:cstheme="minorEastAsia"/>
          <w:i w:val="0"/>
          <w:iCs w:val="0"/>
          <w:caps w:val="0"/>
          <w:color w:val="3D3D3D"/>
          <w:spacing w:val="0"/>
          <w:sz w:val="30"/>
          <w:szCs w:val="30"/>
          <w:shd w:val="clear" w:fill="FFFFFF"/>
        </w:rPr>
        <w:t>%，较上年同期</w:t>
      </w:r>
      <w:r>
        <w:rPr>
          <w:rFonts w:hint="eastAsia" w:asciiTheme="minorEastAsia" w:hAnsiTheme="minorEastAsia" w:eastAsiaTheme="minorEastAsia" w:cstheme="minorEastAsia"/>
          <w:i w:val="0"/>
          <w:iCs w:val="0"/>
          <w:caps w:val="0"/>
          <w:color w:val="3D3D3D"/>
          <w:spacing w:val="0"/>
          <w:sz w:val="30"/>
          <w:szCs w:val="30"/>
          <w:shd w:val="clear" w:fill="FFFFFF"/>
          <w:lang w:eastAsia="zh-CN"/>
        </w:rPr>
        <w:t>减少</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0.06</w:t>
      </w:r>
      <w:r>
        <w:rPr>
          <w:rFonts w:hint="eastAsia" w:asciiTheme="minorEastAsia" w:hAnsiTheme="minorEastAsia" w:eastAsiaTheme="minorEastAsia" w:cstheme="minorEastAsia"/>
          <w:i w:val="0"/>
          <w:iCs w:val="0"/>
          <w:caps w:val="0"/>
          <w:color w:val="3D3D3D"/>
          <w:spacing w:val="0"/>
          <w:sz w:val="30"/>
          <w:szCs w:val="30"/>
          <w:shd w:val="clear" w:fill="FFFFFF"/>
        </w:rPr>
        <w:t>万元。其中：公务接待支出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12.76</w:t>
      </w:r>
      <w:r>
        <w:rPr>
          <w:rFonts w:hint="eastAsia" w:asciiTheme="minorEastAsia" w:hAnsiTheme="minorEastAsia" w:eastAsiaTheme="minorEastAsia" w:cstheme="minorEastAsia"/>
          <w:i w:val="0"/>
          <w:iCs w:val="0"/>
          <w:caps w:val="0"/>
          <w:color w:val="3D3D3D"/>
          <w:spacing w:val="0"/>
          <w:sz w:val="30"/>
          <w:szCs w:val="30"/>
          <w:shd w:val="clear" w:fill="FFFFFF"/>
        </w:rPr>
        <w:t>万元，完成年初预算的</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91.14</w:t>
      </w:r>
      <w:r>
        <w:rPr>
          <w:rFonts w:hint="eastAsia" w:asciiTheme="minorEastAsia" w:hAnsiTheme="minorEastAsia" w:eastAsiaTheme="minorEastAsia" w:cstheme="minorEastAsia"/>
          <w:i w:val="0"/>
          <w:iCs w:val="0"/>
          <w:caps w:val="0"/>
          <w:color w:val="3D3D3D"/>
          <w:spacing w:val="0"/>
          <w:sz w:val="30"/>
          <w:szCs w:val="30"/>
          <w:shd w:val="clear" w:fill="FFFFFF"/>
        </w:rPr>
        <w:t>%，较上年同期</w:t>
      </w:r>
      <w:r>
        <w:rPr>
          <w:rFonts w:hint="eastAsia" w:asciiTheme="minorEastAsia" w:hAnsiTheme="minorEastAsia" w:eastAsiaTheme="minorEastAsia" w:cstheme="minorEastAsia"/>
          <w:i w:val="0"/>
          <w:iCs w:val="0"/>
          <w:caps w:val="0"/>
          <w:color w:val="3D3D3D"/>
          <w:spacing w:val="0"/>
          <w:sz w:val="30"/>
          <w:szCs w:val="30"/>
          <w:shd w:val="clear" w:fill="FFFFFF"/>
          <w:lang w:eastAsia="zh-CN"/>
        </w:rPr>
        <w:t>减少</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0.21</w:t>
      </w:r>
      <w:r>
        <w:rPr>
          <w:rFonts w:hint="eastAsia" w:asciiTheme="minorEastAsia" w:hAnsiTheme="minorEastAsia" w:eastAsiaTheme="minorEastAsia" w:cstheme="minorEastAsia"/>
          <w:i w:val="0"/>
          <w:iCs w:val="0"/>
          <w:caps w:val="0"/>
          <w:color w:val="3D3D3D"/>
          <w:spacing w:val="0"/>
          <w:sz w:val="30"/>
          <w:szCs w:val="30"/>
          <w:shd w:val="clear" w:fill="FFFFFF"/>
        </w:rPr>
        <w:t>万元；公务用车运行及维护费支出</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12.88</w:t>
      </w:r>
      <w:r>
        <w:rPr>
          <w:rFonts w:hint="eastAsia" w:asciiTheme="minorEastAsia" w:hAnsiTheme="minorEastAsia" w:eastAsiaTheme="minorEastAsia" w:cstheme="minorEastAsia"/>
          <w:i w:val="0"/>
          <w:iCs w:val="0"/>
          <w:caps w:val="0"/>
          <w:color w:val="3D3D3D"/>
          <w:spacing w:val="0"/>
          <w:sz w:val="30"/>
          <w:szCs w:val="30"/>
          <w:shd w:val="clear" w:fill="FFFFFF"/>
        </w:rPr>
        <w:t>万元，完成年初预算的</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83.04</w:t>
      </w:r>
      <w:r>
        <w:rPr>
          <w:rFonts w:hint="eastAsia" w:asciiTheme="minorEastAsia" w:hAnsiTheme="minorEastAsia" w:eastAsiaTheme="minorEastAsia" w:cstheme="minorEastAsia"/>
          <w:i w:val="0"/>
          <w:iCs w:val="0"/>
          <w:caps w:val="0"/>
          <w:color w:val="3D3D3D"/>
          <w:spacing w:val="0"/>
          <w:sz w:val="30"/>
          <w:szCs w:val="30"/>
          <w:shd w:val="clear" w:fill="FFFFFF"/>
        </w:rPr>
        <w:t>%，较上年同期</w:t>
      </w:r>
      <w:r>
        <w:rPr>
          <w:rFonts w:hint="eastAsia" w:asciiTheme="minorEastAsia" w:hAnsiTheme="minorEastAsia" w:eastAsiaTheme="minorEastAsia" w:cstheme="minorEastAsia"/>
          <w:i w:val="0"/>
          <w:iCs w:val="0"/>
          <w:caps w:val="0"/>
          <w:color w:val="3D3D3D"/>
          <w:spacing w:val="0"/>
          <w:sz w:val="30"/>
          <w:szCs w:val="30"/>
          <w:shd w:val="clear" w:fill="FFFFFF"/>
          <w:lang w:eastAsia="zh-CN"/>
        </w:rPr>
        <w:t>增加</w:t>
      </w:r>
      <w:r>
        <w:rPr>
          <w:rFonts w:hint="eastAsia" w:asciiTheme="minorEastAsia" w:hAnsiTheme="minorEastAsia" w:eastAsiaTheme="minorEastAsia" w:cstheme="minorEastAsia"/>
          <w:i w:val="0"/>
          <w:iCs w:val="0"/>
          <w:caps w:val="0"/>
          <w:color w:val="3D3D3D"/>
          <w:spacing w:val="0"/>
          <w:sz w:val="30"/>
          <w:szCs w:val="30"/>
          <w:shd w:val="clear" w:fill="FFFFFF"/>
          <w:lang w:val="en-US" w:eastAsia="zh-CN"/>
        </w:rPr>
        <w:t>0.18</w:t>
      </w:r>
      <w:r>
        <w:rPr>
          <w:rFonts w:hint="eastAsia" w:asciiTheme="minorEastAsia" w:hAnsiTheme="minorEastAsia" w:eastAsiaTheme="minorEastAsia" w:cstheme="minorEastAsia"/>
          <w:i w:val="0"/>
          <w:iCs w:val="0"/>
          <w:caps w:val="0"/>
          <w:color w:val="3D3D3D"/>
          <w:spacing w:val="0"/>
          <w:sz w:val="30"/>
          <w:szCs w:val="30"/>
          <w:shd w:val="clear" w:fill="FFFFFF"/>
        </w:rPr>
        <w:t>万元；本年度未发生和因公出国（境）费支出。“三公”经费下降的主要原因是认真贯彻落实</w:t>
      </w:r>
      <w:bookmarkStart w:id="0" w:name="_GoBack"/>
      <w:r>
        <w:rPr>
          <w:rFonts w:hint="eastAsia" w:asciiTheme="minorEastAsia" w:hAnsiTheme="minorEastAsia" w:eastAsiaTheme="minorEastAsia" w:cstheme="minorEastAsia"/>
          <w:i w:val="0"/>
          <w:iCs w:val="0"/>
          <w:caps w:val="0"/>
          <w:color w:val="3D3D3D"/>
          <w:spacing w:val="0"/>
          <w:sz w:val="30"/>
          <w:szCs w:val="30"/>
          <w:shd w:val="clear" w:fill="FFFFFF"/>
        </w:rPr>
        <w:t>中央八项规定</w:t>
      </w:r>
      <w:bookmarkEnd w:id="0"/>
      <w:r>
        <w:rPr>
          <w:rFonts w:hint="eastAsia" w:asciiTheme="minorEastAsia" w:hAnsiTheme="minorEastAsia" w:eastAsiaTheme="minorEastAsia" w:cstheme="minorEastAsia"/>
          <w:i w:val="0"/>
          <w:iCs w:val="0"/>
          <w:caps w:val="0"/>
          <w:color w:val="3D3D3D"/>
          <w:spacing w:val="0"/>
          <w:sz w:val="30"/>
          <w:szCs w:val="30"/>
          <w:shd w:val="clear" w:fill="FFFFFF"/>
        </w:rPr>
        <w:t>精神和厉行节约要求，进一步从严控制“三公”经费开支，全年实际支出比预算有所节约。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（3）机关节能降耗。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我乡严格执行党政机关厉行节约反对浪费之规定，倡导站所工作人员自觉养成艰苦朴素、勤俭节约的良好风尚，进一步推进节约型机关建设，着力降低单位能耗，从细微处着手，培育良好生活、工作习惯，离开办公室要随手关灯，杜绝“长明灯”、“白昼灯”，下班后自觉关闭各类电器设备电源，做到节约用水，增强勤俭节约意识。规范办公用品采购，加强办公用品的使用管理，积极推行网络办公，尽量在电子媒介上撰写、修改文稿，加快推进无纸化办公进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2、专项决算项目支出绩效。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（1）项目申报情况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年初预算环境综合治理项目资金按月进行申报，农村综合治理工作经费按季度进行申报，其他项目待资金下达后一次性申报。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（2）项目资金管理情况。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乡政府项目资金管理严格按照用款计划，分月、季度执行，按照项目资金管理办法实行专款专用。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（3）绩效目标完成情况。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按照年初预算项目，实施完成后使全乡环境更优美、经济更稳定、社会更和谐，达到预期经济、社会目标。</w:t>
      </w:r>
    </w:p>
    <w:p>
      <w:pPr>
        <w:pStyle w:val="3"/>
        <w:bidi w:val="0"/>
        <w:rPr>
          <w:rFonts w:hint="eastAsia"/>
        </w:rPr>
      </w:pPr>
      <w:r>
        <w:rPr>
          <w:rFonts w:hint="eastAsia"/>
        </w:rPr>
        <w:t>（三）决算支出产出情况。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项目预算编制合理，充分的预计项目支出并完整反应，预算执行率达100%，未出现截留、挤占、挪用、虚列支出等情况。为保障项目顺利实施定期对项目实施单位进行考核，并统计相关台账记录数据。项目采购方式合规、采购流程规范，资金拨付具有完整的审批程序和手续，符合相关制度规定。但项目资金监管不到位，项目资金无具体使用明细，存在需要完善的风险控制环节。</w:t>
      </w:r>
    </w:p>
    <w:p>
      <w:pPr>
        <w:pStyle w:val="3"/>
        <w:bidi w:val="0"/>
        <w:rPr>
          <w:rFonts w:hint="eastAsia"/>
        </w:rPr>
      </w:pPr>
      <w:r>
        <w:rPr>
          <w:rFonts w:hint="eastAsia"/>
        </w:rPr>
        <w:t>（四）决算支出效益情况。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实现了乡政府正常运转，各职能部门正常履职，对负责的社会事务加强管理，以实现全乡和谐发展、社会稳定；研究制定了全乡农业和农村经济发展规划及年度计划，深化乡村经济体制改革，搞好农村小康建设，加强社会化服务体系建设；指导不断调整产品和产业结构，大力开发新产品，做好技术引进工作；发展农村经济，确保税收稳步增长；督促和指导乡村抓好基础管理工作和安全生产工作。引导农民进行产业结构调整，培育主导产业，促进农民持续稳定增产、增收，做好防汛抗旱、防治大气污染工作，以保证农民的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通过绩效评价精准加大在“三农”、教育、生态环境、社会保障、公共基础设施、就业再就业等方面的投入改善了公共服务，大力发展和壮大了社会公共事业，着力解决好了人民群众最关心、最直接、最现实的利益问题，统筹兼顾紧紧依靠人民推动改革，打赢三大攻坚战，确保各项决策部署全面落实，实现社会稳定和长治久安。</w:t>
      </w:r>
    </w:p>
    <w:p>
      <w:pPr>
        <w:pStyle w:val="3"/>
        <w:bidi w:val="0"/>
        <w:rPr>
          <w:rFonts w:hint="eastAsia"/>
        </w:rPr>
      </w:pPr>
      <w:r>
        <w:rPr>
          <w:rFonts w:hint="eastAsia"/>
        </w:rPr>
        <w:t>五、主要经验做法、存在的问题及原因分析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1、主要经验及做法：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在项目资金使用上，严格按照相关文件要求，严格执行项目批复内容，不擅自变更、拆借、挪用和挤占专项资金，做到专款专用。按照财政资金使用用途和目的，健全了资金管理制度，款项支付规范，最大限度地发挥了财政资金的使用效率，认真执行年初预算资金计划，账务核算及时规范，保障了机关正常运转，促进了项目建设全面完成，较好地完成了年度工作目标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2、存在的问题：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未明确产出效益，未细化分解了明确的绩效指标。项目绩效指标设计不够明确。在项目资金使用上，项目资金监管不到位，无具体使用明细，存在需要完善的风险控制环节。</w:t>
      </w:r>
    </w:p>
    <w:p>
      <w:pPr>
        <w:pStyle w:val="3"/>
        <w:bidi w:val="0"/>
        <w:rPr>
          <w:rFonts w:hint="eastAsia"/>
        </w:rPr>
      </w:pPr>
      <w:r>
        <w:rPr>
          <w:rFonts w:hint="eastAsia"/>
        </w:rPr>
        <w:t>六、有关建议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1、建议进一步明确项目绩效指标，规范绩效目标申报，明确绩效内容，细化绩效指标，以提高绩效指标量化和考核性。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225" w:afterAutospacing="0" w:line="240" w:lineRule="auto"/>
        <w:ind w:left="0" w:right="0" w:firstLine="600" w:firstLineChars="200"/>
        <w:jc w:val="both"/>
        <w:textAlignment w:val="auto"/>
        <w:rPr>
          <w:rFonts w:hint="eastAsia" w:asciiTheme="minorEastAsia" w:hAnsiTheme="minorEastAsia" w:eastAsiaTheme="minorEastAsia" w:cstheme="minorEastAsia"/>
          <w:i w:val="0"/>
          <w:iCs w:val="0"/>
          <w:caps w:val="0"/>
          <w:color w:val="3D3D3D"/>
          <w:spacing w:val="0"/>
          <w:sz w:val="30"/>
          <w:szCs w:val="30"/>
        </w:rPr>
      </w:pPr>
      <w:r>
        <w:rPr>
          <w:rFonts w:hint="eastAsia" w:asciiTheme="minorEastAsia" w:hAnsiTheme="minorEastAsia" w:eastAsiaTheme="minorEastAsia" w:cstheme="minorEastAsia"/>
          <w:i w:val="0"/>
          <w:iCs w:val="0"/>
          <w:caps w:val="0"/>
          <w:color w:val="3D3D3D"/>
          <w:spacing w:val="0"/>
          <w:sz w:val="30"/>
          <w:szCs w:val="30"/>
          <w:shd w:val="clear" w:fill="FFFFFF"/>
        </w:rPr>
        <w:t>2、积极健全项目资金管理制度、风险控制管理，强化项目使用的规范性。</w:t>
      </w:r>
    </w:p>
    <w:p>
      <w:pPr>
        <w:spacing w:line="400" w:lineRule="exact"/>
        <w:rPr>
          <w:rFonts w:hint="eastAsia" w:ascii="仿宋" w:hAnsi="仿宋" w:eastAsia="仿宋"/>
        </w:rPr>
        <w:sectPr>
          <w:pgSz w:w="11906" w:h="16838"/>
          <w:pgMar w:top="468" w:right="1800" w:bottom="1440" w:left="1800" w:header="851" w:footer="992" w:gutter="0"/>
          <w:cols w:space="425" w:num="1"/>
          <w:docGrid w:type="lines" w:linePitch="312" w:charSpace="0"/>
        </w:sectPr>
      </w:pPr>
      <w:r>
        <w:rPr>
          <w:rFonts w:hint="eastAsia" w:asciiTheme="minorEastAsia" w:hAnsiTheme="minorEastAsia" w:eastAsiaTheme="minorEastAsia" w:cstheme="minorEastAsia"/>
          <w:i w:val="0"/>
          <w:iCs w:val="0"/>
          <w:caps w:val="0"/>
          <w:color w:val="3D3D3D"/>
          <w:spacing w:val="0"/>
          <w:sz w:val="30"/>
          <w:szCs w:val="30"/>
          <w:shd w:val="clear" w:fill="FFFFFF"/>
        </w:rPr>
        <w:t>3、加强干部队伍的党风廉政教育，强化管理，严格落实片区网格化制度，责任到片、责任到人，实行详细的工作绩效考核机制；加强法律、法规学习，规范行政执法程序。</w:t>
      </w:r>
    </w:p>
    <w:p>
      <w:pPr>
        <w:spacing w:line="600" w:lineRule="exact"/>
        <w:rPr>
          <w:rFonts w:eastAsia="黑体"/>
          <w:sz w:val="32"/>
          <w:szCs w:val="32"/>
        </w:rPr>
      </w:pPr>
      <w:r>
        <w:rPr>
          <w:rFonts w:hint="eastAsia" w:eastAsia="黑体"/>
          <w:sz w:val="32"/>
          <w:szCs w:val="32"/>
        </w:rPr>
        <w:t>附件</w:t>
      </w:r>
      <w:r>
        <w:rPr>
          <w:rFonts w:eastAsia="黑体"/>
          <w:sz w:val="32"/>
          <w:szCs w:val="32"/>
        </w:rPr>
        <w:t>4-1</w:t>
      </w:r>
    </w:p>
    <w:p>
      <w:pPr>
        <w:spacing w:line="400" w:lineRule="exact"/>
        <w:rPr>
          <w:rFonts w:eastAsia="黑体"/>
          <w:sz w:val="32"/>
          <w:szCs w:val="32"/>
        </w:rPr>
      </w:pPr>
    </w:p>
    <w:p>
      <w:pPr>
        <w:spacing w:afterLines="50" w:line="400" w:lineRule="exact"/>
        <w:jc w:val="center"/>
        <w:rPr>
          <w:rFonts w:eastAsia="方正小标宋_GBK"/>
          <w:bCs/>
          <w:sz w:val="36"/>
          <w:szCs w:val="36"/>
        </w:rPr>
      </w:pPr>
      <w:r>
        <w:rPr>
          <w:rFonts w:hint="eastAsia" w:eastAsia="方正小标宋_GBK"/>
          <w:bCs/>
          <w:sz w:val="36"/>
          <w:szCs w:val="36"/>
        </w:rPr>
        <w:t>预算支出绩效评价共性指标体系框架</w:t>
      </w:r>
    </w:p>
    <w:tbl>
      <w:tblPr>
        <w:tblStyle w:val="5"/>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7"/>
        <w:gridCol w:w="674"/>
        <w:gridCol w:w="1071"/>
        <w:gridCol w:w="1975"/>
        <w:gridCol w:w="448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77"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一级</w:t>
            </w:r>
            <w:r>
              <w:rPr>
                <w:rFonts w:ascii="仿宋_GB2312" w:eastAsia="仿宋_GB2312"/>
                <w:b/>
                <w:bCs/>
                <w:szCs w:val="21"/>
              </w:rPr>
              <w:br w:type="textWrapping"/>
            </w:r>
            <w:r>
              <w:rPr>
                <w:rFonts w:hint="eastAsia" w:ascii="仿宋_GB2312" w:eastAsia="仿宋_GB2312"/>
                <w:b/>
                <w:bCs/>
                <w:szCs w:val="21"/>
              </w:rPr>
              <w:t>指标</w:t>
            </w:r>
          </w:p>
        </w:tc>
        <w:tc>
          <w:tcPr>
            <w:tcW w:w="674"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二级</w:t>
            </w:r>
            <w:r>
              <w:rPr>
                <w:rFonts w:ascii="仿宋_GB2312" w:eastAsia="仿宋_GB2312"/>
                <w:b/>
                <w:bCs/>
                <w:szCs w:val="21"/>
              </w:rPr>
              <w:br w:type="textWrapping"/>
            </w:r>
            <w:r>
              <w:rPr>
                <w:rFonts w:hint="eastAsia" w:ascii="仿宋_GB2312" w:eastAsia="仿宋_GB2312"/>
                <w:b/>
                <w:bCs/>
                <w:szCs w:val="21"/>
              </w:rPr>
              <w:t>指标</w:t>
            </w:r>
          </w:p>
        </w:tc>
        <w:tc>
          <w:tcPr>
            <w:tcW w:w="1071"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三级指标</w:t>
            </w:r>
          </w:p>
        </w:tc>
        <w:tc>
          <w:tcPr>
            <w:tcW w:w="1975"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评分及标准</w:t>
            </w:r>
          </w:p>
        </w:tc>
        <w:tc>
          <w:tcPr>
            <w:tcW w:w="4482" w:type="dxa"/>
            <w:tcMar>
              <w:top w:w="10" w:type="dxa"/>
              <w:left w:w="10" w:type="dxa"/>
              <w:bottom w:w="0" w:type="dxa"/>
              <w:right w:w="10" w:type="dxa"/>
            </w:tcMar>
            <w:vAlign w:val="center"/>
          </w:tcPr>
          <w:p>
            <w:pPr>
              <w:jc w:val="center"/>
              <w:rPr>
                <w:rFonts w:ascii="仿宋_GB2312" w:eastAsia="仿宋_GB2312"/>
                <w:b/>
                <w:bCs/>
                <w:szCs w:val="21"/>
              </w:rPr>
            </w:pPr>
            <w:r>
              <w:rPr>
                <w:rFonts w:hint="eastAsia" w:ascii="仿宋_GB2312" w:eastAsia="仿宋_GB2312"/>
                <w:b/>
                <w:bCs/>
                <w:szCs w:val="21"/>
              </w:rPr>
              <w:t>指标说明</w:t>
            </w:r>
          </w:p>
        </w:tc>
        <w:tc>
          <w:tcPr>
            <w:tcW w:w="954" w:type="dxa"/>
            <w:vAlign w:val="center"/>
          </w:tcPr>
          <w:p>
            <w:pPr>
              <w:jc w:val="center"/>
              <w:rPr>
                <w:rFonts w:ascii="仿宋_GB2312" w:eastAsia="仿宋_GB2312"/>
                <w:b/>
                <w:bCs/>
                <w:szCs w:val="21"/>
              </w:rPr>
            </w:pPr>
            <w:r>
              <w:rPr>
                <w:rFonts w:hint="eastAsia" w:ascii="仿宋_GB2312" w:eastAsia="仿宋_GB2312"/>
                <w:b/>
                <w:bCs/>
                <w:szCs w:val="21"/>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restart"/>
            <w:noWrap/>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决</w:t>
            </w:r>
          </w:p>
          <w:p>
            <w:pPr>
              <w:jc w:val="center"/>
              <w:rPr>
                <w:rFonts w:ascii="仿宋_GB2312" w:eastAsia="仿宋_GB2312"/>
                <w:szCs w:val="21"/>
              </w:rPr>
            </w:pPr>
            <w:r>
              <w:rPr>
                <w:rFonts w:hint="eastAsia" w:ascii="仿宋_GB2312" w:eastAsia="仿宋_GB2312"/>
                <w:szCs w:val="21"/>
              </w:rPr>
              <w:t>策</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w:t>
            </w:r>
          </w:p>
        </w:tc>
        <w:tc>
          <w:tcPr>
            <w:tcW w:w="674" w:type="dxa"/>
            <w:vMerge w:val="restart"/>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预算支出决策</w:t>
            </w:r>
          </w:p>
          <w:p>
            <w:pPr>
              <w:jc w:val="center"/>
              <w:rPr>
                <w:rFonts w:ascii="仿宋_GB2312" w:eastAsia="仿宋_GB2312"/>
                <w:szCs w:val="21"/>
              </w:rPr>
            </w:pPr>
            <w:r>
              <w:rPr>
                <w:rFonts w:hint="eastAsia" w:ascii="仿宋_GB2312" w:eastAsia="仿宋_GB2312"/>
                <w:szCs w:val="21"/>
              </w:rPr>
              <w:t>（项目立项）（</w:t>
            </w:r>
            <w:r>
              <w:rPr>
                <w:rFonts w:ascii="仿宋_GB2312" w:eastAsia="仿宋_GB2312"/>
                <w:szCs w:val="21"/>
              </w:rPr>
              <w:t>4</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预算支出决策（项目立项）依据</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充分性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决策（立项）是否符合国家相关法律法规、国民经济发展规划和相关政策；</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决策（立项）是否符合行业发展规划和政策要求；</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决策（立项）是否与部门职责范围相符，属于部门履职所需；</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预算支出是否属于公共财政支持范围，是否符合中央、地方事权支出责任划分原则；</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⑤</w:t>
            </w:r>
            <w:r>
              <w:rPr>
                <w:rFonts w:hint="eastAsia" w:ascii="仿宋_GB2312" w:eastAsia="仿宋_GB2312"/>
                <w:szCs w:val="21"/>
              </w:rPr>
              <w:t>预算支出是否与相关部门同类预算支出或部门内部相关预算支出重复。</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5" w:hRule="atLeast"/>
          <w:jc w:val="center"/>
        </w:trPr>
        <w:tc>
          <w:tcPr>
            <w:tcW w:w="777" w:type="dxa"/>
            <w:vMerge w:val="continue"/>
            <w:noWrap/>
            <w:tcMar>
              <w:top w:w="10" w:type="dxa"/>
              <w:left w:w="10" w:type="dxa"/>
              <w:bottom w:w="0" w:type="dxa"/>
              <w:right w:w="10" w:type="dxa"/>
            </w:tcMar>
            <w:textDirection w:val="tbRlV"/>
            <w:vAlign w:val="center"/>
          </w:tcPr>
          <w:p>
            <w:pPr>
              <w:jc w:val="center"/>
              <w:rPr>
                <w:rFonts w:ascii="仿宋_GB2312" w:eastAsia="仿宋_GB2312"/>
                <w:szCs w:val="21"/>
              </w:rPr>
            </w:pPr>
          </w:p>
        </w:tc>
        <w:tc>
          <w:tcPr>
            <w:tcW w:w="674" w:type="dxa"/>
            <w:vMerge w:val="continue"/>
            <w:tcMar>
              <w:top w:w="10" w:type="dxa"/>
              <w:left w:w="10" w:type="dxa"/>
              <w:bottom w:w="0" w:type="dxa"/>
              <w:right w:w="10" w:type="dxa"/>
            </w:tcMar>
            <w:vAlign w:val="center"/>
          </w:tcPr>
          <w:p>
            <w:pPr>
              <w:jc w:val="cente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决策（立项）程序规范性</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pStyle w:val="8"/>
              <w:numPr>
                <w:ilvl w:val="0"/>
                <w:numId w:val="1"/>
              </w:numPr>
              <w:spacing w:line="260" w:lineRule="exact"/>
              <w:ind w:firstLineChars="0"/>
              <w:rPr>
                <w:rFonts w:ascii="仿宋_GB2312" w:eastAsia="仿宋_GB2312"/>
                <w:szCs w:val="21"/>
              </w:rPr>
            </w:pPr>
            <w:r>
              <w:rPr>
                <w:rFonts w:hint="eastAsia" w:ascii="仿宋_GB2312" w:eastAsia="仿宋_GB2312"/>
                <w:szCs w:val="21"/>
              </w:rPr>
              <w:t>预算支出是否按照规定的程序申请设立；</w:t>
            </w:r>
          </w:p>
          <w:p>
            <w:pPr>
              <w:pStyle w:val="8"/>
              <w:numPr>
                <w:ilvl w:val="0"/>
                <w:numId w:val="1"/>
              </w:numPr>
              <w:spacing w:line="260" w:lineRule="exact"/>
              <w:ind w:firstLineChars="0"/>
              <w:rPr>
                <w:rFonts w:ascii="仿宋_GB2312" w:eastAsia="仿宋_GB2312"/>
                <w:szCs w:val="21"/>
              </w:rPr>
            </w:pPr>
            <w:r>
              <w:rPr>
                <w:rFonts w:hint="eastAsia" w:ascii="仿宋_GB2312" w:eastAsia="仿宋_GB2312"/>
                <w:szCs w:val="21"/>
              </w:rPr>
              <w:t>审批文件、材料是否符合相关要求；</w:t>
            </w:r>
          </w:p>
          <w:p>
            <w:pPr>
              <w:spacing w:line="260" w:lineRule="exact"/>
              <w:ind w:left="105" w:left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事前是否已经过必要的可行性研究、专家论证、风险评估、绩效评估、集体决策。</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777" w:type="dxa"/>
            <w:vMerge w:val="continue"/>
            <w:vAlign w:val="center"/>
          </w:tcPr>
          <w:p>
            <w:pPr>
              <w:rPr>
                <w:rFonts w:ascii="仿宋_GB2312" w:eastAsia="仿宋_GB2312"/>
                <w:szCs w:val="21"/>
              </w:rPr>
            </w:pPr>
          </w:p>
        </w:tc>
        <w:tc>
          <w:tcPr>
            <w:tcW w:w="674" w:type="dxa"/>
            <w:vMerge w:val="restart"/>
            <w:vAlign w:val="center"/>
          </w:tcPr>
          <w:p>
            <w:pPr>
              <w:jc w:val="center"/>
              <w:rPr>
                <w:rFonts w:ascii="仿宋_GB2312" w:eastAsia="仿宋_GB2312"/>
                <w:szCs w:val="21"/>
              </w:rPr>
            </w:pPr>
            <w:r>
              <w:rPr>
                <w:rFonts w:hint="eastAsia" w:ascii="仿宋_GB2312" w:eastAsia="仿宋_GB2312"/>
                <w:szCs w:val="21"/>
              </w:rPr>
              <w:t>绩效</w:t>
            </w:r>
          </w:p>
          <w:p>
            <w:pPr>
              <w:jc w:val="center"/>
              <w:rPr>
                <w:rFonts w:ascii="仿宋_GB2312" w:eastAsia="仿宋_GB2312"/>
                <w:szCs w:val="21"/>
              </w:rPr>
            </w:pPr>
            <w:r>
              <w:rPr>
                <w:rFonts w:hint="eastAsia" w:ascii="仿宋_GB2312" w:eastAsia="仿宋_GB2312"/>
                <w:szCs w:val="21"/>
              </w:rPr>
              <w:t>目标（</w:t>
            </w:r>
            <w:r>
              <w:rPr>
                <w:rFonts w:ascii="仿宋_GB2312" w:eastAsia="仿宋_GB2312"/>
                <w:szCs w:val="21"/>
              </w:rPr>
              <w:t>3</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绩效目标</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合理性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spacing w:line="260" w:lineRule="exact"/>
              <w:ind w:left="105" w:leftChars="50" w:right="105" w:rightChars="50"/>
              <w:rPr>
                <w:rFonts w:ascii="仿宋_GB2312" w:eastAsia="仿宋_GB2312"/>
                <w:szCs w:val="21"/>
              </w:rPr>
            </w:pPr>
            <w:r>
              <w:rPr>
                <w:rFonts w:hint="eastAsia" w:ascii="仿宋_GB2312" w:eastAsia="仿宋_GB2312"/>
                <w:szCs w:val="21"/>
              </w:rPr>
              <w:t>（如未设定预算绩效目标，也可考核其他工作任务目标）</w:t>
            </w:r>
          </w:p>
          <w:p>
            <w:pPr>
              <w:pStyle w:val="8"/>
              <w:numPr>
                <w:ilvl w:val="0"/>
                <w:numId w:val="2"/>
              </w:numPr>
              <w:spacing w:line="260" w:lineRule="exact"/>
              <w:ind w:right="105" w:rightChars="50" w:firstLineChars="0"/>
              <w:rPr>
                <w:rFonts w:ascii="仿宋_GB2312" w:eastAsia="仿宋_GB2312"/>
                <w:szCs w:val="21"/>
              </w:rPr>
            </w:pPr>
            <w:r>
              <w:rPr>
                <w:rFonts w:hint="eastAsia" w:ascii="仿宋_GB2312" w:eastAsia="仿宋_GB2312"/>
                <w:szCs w:val="21"/>
              </w:rPr>
              <w:t>预算支出是否有绩效目标；</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②</w:t>
            </w:r>
            <w:r>
              <w:rPr>
                <w:rFonts w:hint="eastAsia" w:ascii="仿宋_GB2312" w:eastAsia="仿宋_GB2312"/>
                <w:szCs w:val="21"/>
              </w:rPr>
              <w:t>预算支出绩效目标与实际工作内容是否具有相关性；</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预算支出预期产出效益和效果是否符合正常的业绩水平；是否与预算确定的预算支出投资额或资金量相匹配。</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rPr>
                <w:rFonts w:ascii="仿宋_GB2312" w:eastAsia="仿宋_GB2312"/>
                <w:szCs w:val="21"/>
              </w:rPr>
            </w:pPr>
          </w:p>
        </w:tc>
        <w:tc>
          <w:tcPr>
            <w:tcW w:w="674" w:type="dxa"/>
            <w:vMerge w:val="continue"/>
            <w:vAlign w:val="center"/>
          </w:tcPr>
          <w:p>
            <w:pPr>
              <w:jc w:val="cente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绩效指标</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明确性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是否将预算支出绩效目标细化分解为具体的绩效指标；</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是否通过清晰、可衡量的指标值体现。</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是否与预算支出目标任务数相对应。</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rPr>
                <w:rFonts w:ascii="仿宋_GB2312" w:eastAsia="仿宋_GB2312"/>
                <w:szCs w:val="21"/>
              </w:rPr>
            </w:pPr>
          </w:p>
        </w:tc>
        <w:tc>
          <w:tcPr>
            <w:tcW w:w="674" w:type="dxa"/>
            <w:vMerge w:val="restart"/>
            <w:vAlign w:val="center"/>
          </w:tcPr>
          <w:p>
            <w:pPr>
              <w:jc w:val="center"/>
              <w:rPr>
                <w:rFonts w:ascii="仿宋_GB2312" w:eastAsia="仿宋_GB2312"/>
                <w:szCs w:val="21"/>
              </w:rPr>
            </w:pPr>
            <w:r>
              <w:rPr>
                <w:rFonts w:hint="eastAsia" w:ascii="仿宋_GB2312" w:eastAsia="仿宋_GB2312"/>
                <w:szCs w:val="21"/>
              </w:rPr>
              <w:t>资金</w:t>
            </w:r>
          </w:p>
          <w:p>
            <w:pPr>
              <w:jc w:val="center"/>
              <w:rPr>
                <w:rFonts w:ascii="仿宋_GB2312" w:eastAsia="仿宋_GB2312"/>
                <w:szCs w:val="21"/>
              </w:rPr>
            </w:pPr>
            <w:r>
              <w:rPr>
                <w:rFonts w:hint="eastAsia" w:ascii="仿宋_GB2312" w:eastAsia="仿宋_GB2312"/>
                <w:szCs w:val="21"/>
              </w:rPr>
              <w:t>投入（</w:t>
            </w:r>
            <w:r>
              <w:rPr>
                <w:rFonts w:ascii="仿宋_GB2312" w:eastAsia="仿宋_GB2312"/>
                <w:szCs w:val="21"/>
              </w:rPr>
              <w:t>3</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预算编制</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科学性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pStyle w:val="8"/>
              <w:numPr>
                <w:ilvl w:val="0"/>
                <w:numId w:val="3"/>
              </w:numPr>
              <w:spacing w:line="260" w:lineRule="exact"/>
              <w:ind w:right="105" w:rightChars="50" w:firstLineChars="0"/>
              <w:rPr>
                <w:rFonts w:ascii="仿宋_GB2312" w:eastAsia="仿宋_GB2312"/>
                <w:szCs w:val="21"/>
              </w:rPr>
            </w:pPr>
            <w:r>
              <w:rPr>
                <w:rFonts w:hint="eastAsia" w:ascii="仿宋_GB2312" w:eastAsia="仿宋_GB2312"/>
                <w:szCs w:val="21"/>
              </w:rPr>
              <w:t>预算编制是否经过科学论证；</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②</w:t>
            </w:r>
            <w:r>
              <w:rPr>
                <w:rFonts w:hint="eastAsia" w:ascii="仿宋_GB2312" w:eastAsia="仿宋_GB2312"/>
                <w:szCs w:val="21"/>
              </w:rPr>
              <w:t>预算内容与支出内容是否匹配；</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预算额度测算依据是否充分，是否按照标准编制；</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④</w:t>
            </w:r>
            <w:r>
              <w:rPr>
                <w:rFonts w:hint="eastAsia" w:ascii="仿宋_GB2312" w:eastAsia="仿宋_GB2312"/>
                <w:szCs w:val="21"/>
              </w:rPr>
              <w:t>预算确定的预算支出投资额或资金量是否与工作任务相匹配</w:t>
            </w:r>
            <w:r>
              <w:rPr>
                <w:rFonts w:ascii="仿宋_GB2312" w:eastAsia="仿宋_GB2312"/>
                <w:szCs w:val="21"/>
              </w:rPr>
              <w:t>1</w:t>
            </w:r>
            <w:r>
              <w:rPr>
                <w:rFonts w:hint="eastAsia" w:ascii="仿宋_GB2312" w:eastAsia="仿宋_GB2312"/>
                <w:szCs w:val="21"/>
              </w:rPr>
              <w:t>分。</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rPr>
                <w:rFonts w:ascii="仿宋_GB2312" w:eastAsia="仿宋_GB2312"/>
                <w:szCs w:val="21"/>
              </w:rPr>
            </w:pPr>
          </w:p>
        </w:tc>
        <w:tc>
          <w:tcPr>
            <w:tcW w:w="674" w:type="dxa"/>
            <w:vMerge w:val="continue"/>
            <w:vAlign w:val="center"/>
          </w:tcPr>
          <w:p>
            <w:pPr>
              <w:jc w:val="cente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资金分配</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合理性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pStyle w:val="8"/>
              <w:numPr>
                <w:ilvl w:val="0"/>
                <w:numId w:val="4"/>
              </w:numPr>
              <w:spacing w:line="260" w:lineRule="exact"/>
              <w:ind w:right="105" w:rightChars="50" w:firstLineChars="0"/>
              <w:rPr>
                <w:rFonts w:ascii="仿宋_GB2312" w:eastAsia="仿宋_GB2312"/>
                <w:szCs w:val="21"/>
              </w:rPr>
            </w:pPr>
            <w:r>
              <w:rPr>
                <w:rFonts w:hint="eastAsia" w:ascii="仿宋_GB2312" w:eastAsia="仿宋_GB2312"/>
                <w:szCs w:val="21"/>
              </w:rPr>
              <w:t>预算资金分配依据是否充分；</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②</w:t>
            </w:r>
            <w:r>
              <w:rPr>
                <w:rFonts w:hint="eastAsia" w:ascii="仿宋_GB2312" w:eastAsia="仿宋_GB2312"/>
                <w:szCs w:val="21"/>
              </w:rPr>
              <w:t>资金分配额度是否合理，与项目实施单位或地方实际是否相适应。</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777" w:type="dxa"/>
            <w:vMerge w:val="restart"/>
            <w:vAlign w:val="center"/>
          </w:tcPr>
          <w:p>
            <w:pPr>
              <w:jc w:val="center"/>
              <w:rPr>
                <w:rFonts w:ascii="仿宋_GB2312" w:eastAsia="仿宋_GB2312"/>
                <w:szCs w:val="21"/>
              </w:rPr>
            </w:pPr>
            <w:r>
              <w:rPr>
                <w:rFonts w:hint="eastAsia" w:ascii="仿宋_GB2312" w:eastAsia="仿宋_GB2312"/>
                <w:szCs w:val="21"/>
              </w:rPr>
              <w:t>过</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程</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20</w:t>
            </w:r>
            <w:r>
              <w:rPr>
                <w:rFonts w:hint="eastAsia" w:ascii="仿宋_GB2312" w:eastAsia="仿宋_GB2312"/>
                <w:szCs w:val="21"/>
              </w:rPr>
              <w:t>）</w:t>
            </w:r>
          </w:p>
        </w:tc>
        <w:tc>
          <w:tcPr>
            <w:tcW w:w="674" w:type="dxa"/>
            <w:vMerge w:val="restart"/>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资金</w:t>
            </w:r>
            <w:r>
              <w:rPr>
                <w:rFonts w:ascii="仿宋_GB2312" w:eastAsia="仿宋_GB2312"/>
                <w:szCs w:val="21"/>
              </w:rPr>
              <w:br w:type="textWrapping"/>
            </w:r>
            <w:r>
              <w:rPr>
                <w:rFonts w:hint="eastAsia" w:ascii="仿宋_GB2312" w:eastAsia="仿宋_GB2312"/>
                <w:szCs w:val="21"/>
              </w:rPr>
              <w:t>管理（</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资金</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到位率</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资金到位率</w:t>
            </w: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5</w:t>
            </w:r>
            <w:r>
              <w:rPr>
                <w:rFonts w:hint="eastAsia" w:ascii="仿宋_GB2312" w:eastAsia="仿宋_GB2312"/>
                <w:szCs w:val="21"/>
              </w:rPr>
              <w:t>个百分点扣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资金到位率</w:t>
            </w:r>
            <w:r>
              <w:rPr>
                <w:rFonts w:ascii="仿宋_GB2312" w:eastAsia="仿宋_GB2312"/>
                <w:szCs w:val="21"/>
              </w:rPr>
              <w:t>=</w:t>
            </w:r>
            <w:r>
              <w:rPr>
                <w:rFonts w:hint="eastAsia" w:ascii="仿宋_GB2312" w:eastAsia="仿宋_GB2312"/>
                <w:szCs w:val="21"/>
              </w:rPr>
              <w:t>（实际到位资金</w:t>
            </w:r>
            <w:r>
              <w:rPr>
                <w:rFonts w:ascii="仿宋_GB2312" w:eastAsia="仿宋_GB2312"/>
                <w:szCs w:val="21"/>
              </w:rPr>
              <w:t>/</w:t>
            </w:r>
            <w:r>
              <w:rPr>
                <w:rFonts w:hint="eastAsia" w:ascii="仿宋_GB2312" w:eastAsia="仿宋_GB2312"/>
                <w:szCs w:val="21"/>
              </w:rPr>
              <w:t>预算资金）×</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实际到位资金：一定时期（本年度或预算支出期）内落实到具体预算支出的资金。</w:t>
            </w:r>
            <w:r>
              <w:rPr>
                <w:rFonts w:ascii="仿宋_GB2312" w:eastAsia="仿宋_GB2312"/>
                <w:szCs w:val="21"/>
              </w:rPr>
              <w:br w:type="textWrapping"/>
            </w:r>
            <w:r>
              <w:rPr>
                <w:rFonts w:hint="eastAsia" w:ascii="仿宋_GB2312" w:eastAsia="仿宋_GB2312"/>
                <w:szCs w:val="21"/>
              </w:rPr>
              <w:t>预算资金：一定时期（本年度或预算支出期）内预算安排到具体预算支出的资金。</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777" w:type="dxa"/>
            <w:vMerge w:val="continue"/>
            <w:vAlign w:val="center"/>
          </w:tcPr>
          <w:p>
            <w:pPr>
              <w:jc w:val="center"/>
              <w:rPr>
                <w:rFonts w:ascii="仿宋_GB2312" w:eastAsia="仿宋_GB2312"/>
                <w:szCs w:val="21"/>
              </w:rPr>
            </w:pPr>
          </w:p>
        </w:tc>
        <w:tc>
          <w:tcPr>
            <w:tcW w:w="674" w:type="dxa"/>
            <w:vMerge w:val="continue"/>
            <w:tcMar>
              <w:top w:w="10" w:type="dxa"/>
              <w:left w:w="10" w:type="dxa"/>
              <w:bottom w:w="0" w:type="dxa"/>
              <w:right w:w="10" w:type="dxa"/>
            </w:tcMar>
            <w:vAlign w:val="center"/>
          </w:tcPr>
          <w:p>
            <w:pPr>
              <w:jc w:val="cente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预算</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执行率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5</w:t>
            </w:r>
            <w:r>
              <w:rPr>
                <w:rFonts w:hint="eastAsia" w:ascii="仿宋_GB2312" w:eastAsia="仿宋_GB2312"/>
                <w:szCs w:val="21"/>
              </w:rPr>
              <w:t>个百分点扣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预算执行率</w:t>
            </w:r>
            <w:r>
              <w:rPr>
                <w:rFonts w:ascii="仿宋_GB2312" w:eastAsia="仿宋_GB2312"/>
                <w:szCs w:val="21"/>
              </w:rPr>
              <w:t>=</w:t>
            </w:r>
            <w:r>
              <w:rPr>
                <w:rFonts w:hint="eastAsia" w:ascii="仿宋_GB2312" w:eastAsia="仿宋_GB2312"/>
                <w:szCs w:val="21"/>
              </w:rPr>
              <w:t>（实际支出资金</w:t>
            </w:r>
            <w:r>
              <w:rPr>
                <w:rFonts w:ascii="仿宋_GB2312" w:eastAsia="仿宋_GB2312"/>
                <w:szCs w:val="21"/>
              </w:rPr>
              <w:t>/</w:t>
            </w:r>
            <w:r>
              <w:rPr>
                <w:rFonts w:hint="eastAsia" w:ascii="仿宋_GB2312" w:eastAsia="仿宋_GB2312"/>
                <w:szCs w:val="21"/>
              </w:rPr>
              <w:t>实际到位资金）×</w:t>
            </w:r>
            <w:r>
              <w:rPr>
                <w:rFonts w:ascii="仿宋_GB2312" w:eastAsia="仿宋_GB2312"/>
                <w:szCs w:val="21"/>
              </w:rPr>
              <w:t>100%</w:t>
            </w:r>
            <w:r>
              <w:rPr>
                <w:rFonts w:hint="eastAsia" w:ascii="仿宋_GB2312" w:eastAsia="仿宋_GB2312"/>
                <w:szCs w:val="21"/>
              </w:rPr>
              <w:t>。</w:t>
            </w:r>
          </w:p>
          <w:p>
            <w:pPr>
              <w:spacing w:line="260" w:lineRule="exact"/>
              <w:ind w:left="105" w:leftChars="50" w:right="105" w:rightChars="50"/>
              <w:rPr>
                <w:rFonts w:ascii="仿宋_GB2312" w:eastAsia="仿宋_GB2312"/>
                <w:szCs w:val="21"/>
              </w:rPr>
            </w:pPr>
            <w:r>
              <w:rPr>
                <w:rFonts w:hint="eastAsia" w:ascii="仿宋_GB2312" w:eastAsia="仿宋_GB2312"/>
                <w:szCs w:val="21"/>
              </w:rPr>
              <w:t>实际支出资金：一定时期（本年度或预算支出期）内预算支出实际拨付的资金。</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jc w:val="center"/>
              <w:rPr>
                <w:rFonts w:ascii="仿宋_GB2312" w:eastAsia="仿宋_GB2312"/>
                <w:szCs w:val="21"/>
              </w:rPr>
            </w:pPr>
          </w:p>
        </w:tc>
        <w:tc>
          <w:tcPr>
            <w:tcW w:w="674" w:type="dxa"/>
            <w:vMerge w:val="continue"/>
            <w:vAlign w:val="center"/>
          </w:tcPr>
          <w:p>
            <w:pP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资金使用</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合规性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①</w:t>
            </w:r>
            <w:r>
              <w:rPr>
                <w:rFonts w:hint="eastAsia" w:ascii="仿宋_GB2312" w:eastAsia="仿宋_GB2312"/>
                <w:szCs w:val="21"/>
              </w:rPr>
              <w:t>是否符合国家财经法规和财务管理制度以及有关专项资金管理办法的规定；</w:t>
            </w:r>
          </w:p>
          <w:p>
            <w:pPr>
              <w:spacing w:line="260" w:lineRule="exact"/>
              <w:ind w:right="105" w:rightChars="50" w:firstLine="105" w:firstLineChars="50"/>
              <w:rPr>
                <w:rFonts w:ascii="仿宋_GB2312" w:eastAsia="仿宋_GB2312"/>
                <w:szCs w:val="21"/>
              </w:rPr>
            </w:pPr>
            <w:r>
              <w:rPr>
                <w:rFonts w:hint="eastAsia" w:ascii="仿宋_GB2312" w:hAnsi="宋体" w:eastAsia="仿宋_GB2312" w:cs="宋体"/>
                <w:szCs w:val="21"/>
              </w:rPr>
              <w:t>②</w:t>
            </w:r>
            <w:r>
              <w:rPr>
                <w:rFonts w:hint="eastAsia" w:ascii="仿宋_GB2312" w:eastAsia="仿宋_GB2312"/>
                <w:szCs w:val="21"/>
              </w:rPr>
              <w:t>资金的拨付是否有完整的审批程序和手续；</w:t>
            </w:r>
          </w:p>
          <w:p>
            <w:pPr>
              <w:spacing w:line="260" w:lineRule="exact"/>
              <w:ind w:right="105" w:rightChars="50" w:firstLine="105" w:firstLineChars="50"/>
              <w:rPr>
                <w:rFonts w:ascii="仿宋_GB2312" w:eastAsia="仿宋_GB2312"/>
                <w:szCs w:val="21"/>
              </w:rPr>
            </w:pPr>
            <w:r>
              <w:rPr>
                <w:rFonts w:hint="eastAsia" w:ascii="仿宋_GB2312" w:hAnsi="宋体" w:eastAsia="仿宋_GB2312" w:cs="宋体"/>
                <w:szCs w:val="21"/>
              </w:rPr>
              <w:t>③</w:t>
            </w:r>
            <w:r>
              <w:rPr>
                <w:rFonts w:hint="eastAsia" w:ascii="仿宋_GB2312" w:eastAsia="仿宋_GB2312"/>
                <w:szCs w:val="21"/>
              </w:rPr>
              <w:t>是否符合预算支出预算批复或合同规定的用途；</w:t>
            </w:r>
          </w:p>
          <w:p>
            <w:pPr>
              <w:spacing w:line="260" w:lineRule="exact"/>
              <w:ind w:left="105" w:leftChars="50" w:right="105" w:rightChars="50"/>
              <w:rPr>
                <w:rFonts w:ascii="仿宋_GB2312" w:eastAsia="仿宋_GB2312"/>
                <w:szCs w:val="21"/>
              </w:rPr>
            </w:pPr>
            <w:r>
              <w:rPr>
                <w:rFonts w:hint="eastAsia" w:ascii="仿宋_GB2312" w:hAnsi="宋体" w:eastAsia="仿宋_GB2312" w:cs="宋体"/>
                <w:szCs w:val="21"/>
              </w:rPr>
              <w:t>④</w:t>
            </w:r>
            <w:r>
              <w:rPr>
                <w:rFonts w:hint="eastAsia" w:ascii="仿宋_GB2312" w:eastAsia="仿宋_GB2312"/>
                <w:szCs w:val="21"/>
              </w:rPr>
              <w:t>是否存在截留、挤占、挪用、虐列支出等情况。</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noWrap/>
            <w:tcMar>
              <w:top w:w="10" w:type="dxa"/>
              <w:left w:w="10" w:type="dxa"/>
              <w:bottom w:w="0" w:type="dxa"/>
              <w:right w:w="10" w:type="dxa"/>
            </w:tcMar>
            <w:textDirection w:val="tbRlV"/>
            <w:vAlign w:val="center"/>
          </w:tcPr>
          <w:p>
            <w:pPr>
              <w:jc w:val="center"/>
              <w:rPr>
                <w:rFonts w:ascii="仿宋_GB2312" w:eastAsia="仿宋_GB2312"/>
                <w:szCs w:val="21"/>
              </w:rPr>
            </w:pPr>
          </w:p>
        </w:tc>
        <w:tc>
          <w:tcPr>
            <w:tcW w:w="674" w:type="dxa"/>
            <w:vMerge w:val="restart"/>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组织</w:t>
            </w:r>
          </w:p>
          <w:p>
            <w:pPr>
              <w:jc w:val="center"/>
              <w:rPr>
                <w:rFonts w:ascii="仿宋_GB2312" w:eastAsia="仿宋_GB2312"/>
                <w:szCs w:val="21"/>
              </w:rPr>
            </w:pPr>
            <w:r>
              <w:rPr>
                <w:rFonts w:hint="eastAsia" w:ascii="仿宋_GB2312" w:eastAsia="仿宋_GB2312"/>
                <w:szCs w:val="21"/>
              </w:rPr>
              <w:t>实施（</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管理制度</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健全性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3</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是否已制定或具有相应的业务管理制度；</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财务和业务管理制度是否合法、合规、完整。</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vAlign w:val="center"/>
          </w:tcPr>
          <w:p>
            <w:pPr>
              <w:rPr>
                <w:rFonts w:ascii="仿宋_GB2312" w:eastAsia="仿宋_GB2312"/>
                <w:szCs w:val="21"/>
              </w:rPr>
            </w:pPr>
          </w:p>
        </w:tc>
        <w:tc>
          <w:tcPr>
            <w:tcW w:w="674" w:type="dxa"/>
            <w:vMerge w:val="continue"/>
            <w:vAlign w:val="center"/>
          </w:tcPr>
          <w:p>
            <w:pPr>
              <w:rPr>
                <w:rFonts w:ascii="仿宋_GB2312" w:eastAsia="仿宋_GB2312"/>
                <w:szCs w:val="21"/>
              </w:rPr>
            </w:pP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制度执行</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有效性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按指标说明评价要点，每缺一项扣</w:t>
            </w:r>
            <w:r>
              <w:rPr>
                <w:rFonts w:ascii="仿宋_GB2312" w:eastAsia="仿宋_GB2312"/>
                <w:szCs w:val="21"/>
              </w:rPr>
              <w:t>3</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评价要点：</w:t>
            </w:r>
            <w:r>
              <w:rPr>
                <w:rFonts w:ascii="仿宋_GB2312" w:eastAsia="仿宋_GB2312"/>
                <w:szCs w:val="21"/>
              </w:rPr>
              <w:br w:type="textWrapping"/>
            </w:r>
            <w:r>
              <w:rPr>
                <w:rFonts w:hint="eastAsia" w:ascii="仿宋_GB2312" w:hAnsi="宋体" w:eastAsia="仿宋_GB2312" w:cs="宋体"/>
                <w:szCs w:val="21"/>
              </w:rPr>
              <w:t>①</w:t>
            </w:r>
            <w:r>
              <w:rPr>
                <w:rFonts w:hint="eastAsia" w:ascii="仿宋_GB2312" w:eastAsia="仿宋_GB2312"/>
                <w:szCs w:val="21"/>
              </w:rPr>
              <w:t>是否遵守相关法律法规和相关管理规定；</w:t>
            </w:r>
            <w:r>
              <w:rPr>
                <w:rFonts w:ascii="仿宋_GB2312" w:eastAsia="仿宋_GB2312"/>
                <w:szCs w:val="21"/>
              </w:rPr>
              <w:br w:type="textWrapping"/>
            </w:r>
            <w:r>
              <w:rPr>
                <w:rFonts w:hint="eastAsia" w:ascii="仿宋_GB2312" w:hAnsi="宋体" w:eastAsia="仿宋_GB2312" w:cs="宋体"/>
                <w:szCs w:val="21"/>
              </w:rPr>
              <w:t>②</w:t>
            </w:r>
            <w:r>
              <w:rPr>
                <w:rFonts w:hint="eastAsia" w:ascii="仿宋_GB2312" w:eastAsia="仿宋_GB2312"/>
                <w:szCs w:val="21"/>
              </w:rPr>
              <w:t>预算支出调整及支出调整手续是否完备；</w:t>
            </w:r>
            <w:r>
              <w:rPr>
                <w:rFonts w:ascii="仿宋_GB2312" w:eastAsia="仿宋_GB2312"/>
                <w:szCs w:val="21"/>
              </w:rPr>
              <w:br w:type="textWrapping"/>
            </w:r>
            <w:r>
              <w:rPr>
                <w:rFonts w:hint="eastAsia" w:ascii="仿宋_GB2312" w:hAnsi="宋体" w:eastAsia="仿宋_GB2312" w:cs="宋体"/>
                <w:szCs w:val="21"/>
              </w:rPr>
              <w:t>③</w:t>
            </w:r>
            <w:r>
              <w:rPr>
                <w:rFonts w:hint="eastAsia" w:ascii="仿宋_GB2312" w:eastAsia="仿宋_GB2312"/>
                <w:szCs w:val="21"/>
              </w:rPr>
              <w:t>预算支出合同书、验收报告、技术鉴定等资料是否齐全并及时归档；</w:t>
            </w:r>
            <w:r>
              <w:rPr>
                <w:rFonts w:ascii="仿宋_GB2312" w:eastAsia="仿宋_GB2312"/>
                <w:szCs w:val="21"/>
              </w:rPr>
              <w:br w:type="textWrapping"/>
            </w:r>
            <w:r>
              <w:rPr>
                <w:rFonts w:hint="eastAsia" w:ascii="仿宋_GB2312" w:hAnsi="宋体" w:eastAsia="仿宋_GB2312" w:cs="宋体"/>
                <w:szCs w:val="21"/>
              </w:rPr>
              <w:t>④</w:t>
            </w:r>
            <w:r>
              <w:rPr>
                <w:rFonts w:hint="eastAsia" w:ascii="仿宋_GB2312" w:eastAsia="仿宋_GB2312"/>
                <w:szCs w:val="21"/>
              </w:rPr>
              <w:t>预算支出实施的人员条件、场地设备、信息支撑等是否落实到位。</w:t>
            </w:r>
          </w:p>
        </w:tc>
        <w:tc>
          <w:tcPr>
            <w:tcW w:w="954" w:type="dxa"/>
            <w:vAlign w:val="center"/>
          </w:tcPr>
          <w:p>
            <w:pPr>
              <w:spacing w:line="26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777" w:type="dxa"/>
            <w:vMerge w:val="restart"/>
            <w:noWrap/>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产</w:t>
            </w:r>
            <w:r>
              <w:rPr>
                <w:rFonts w:ascii="仿宋_GB2312" w:eastAsia="仿宋_GB2312"/>
                <w:szCs w:val="21"/>
              </w:rPr>
              <w:t xml:space="preserve">   </w:t>
            </w:r>
          </w:p>
          <w:p>
            <w:pPr>
              <w:jc w:val="center"/>
              <w:rPr>
                <w:rFonts w:ascii="仿宋_GB2312" w:eastAsia="仿宋_GB2312"/>
                <w:szCs w:val="21"/>
              </w:rPr>
            </w:pPr>
            <w:r>
              <w:rPr>
                <w:rFonts w:hint="eastAsia" w:ascii="仿宋_GB2312" w:eastAsia="仿宋_GB2312"/>
                <w:szCs w:val="21"/>
              </w:rPr>
              <w:t>出</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40</w:t>
            </w:r>
            <w:r>
              <w:rPr>
                <w:rFonts w:hint="eastAsia" w:ascii="仿宋_GB2312" w:eastAsia="仿宋_GB2312"/>
                <w:szCs w:val="21"/>
              </w:rPr>
              <w:t>）</w:t>
            </w:r>
          </w:p>
        </w:tc>
        <w:tc>
          <w:tcPr>
            <w:tcW w:w="674" w:type="dxa"/>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产出</w:t>
            </w:r>
          </w:p>
          <w:p>
            <w:pPr>
              <w:jc w:val="center"/>
              <w:rPr>
                <w:rFonts w:ascii="仿宋_GB2312" w:eastAsia="仿宋_GB2312"/>
                <w:szCs w:val="21"/>
              </w:rPr>
            </w:pPr>
            <w:r>
              <w:rPr>
                <w:rFonts w:hint="eastAsia" w:ascii="仿宋_GB2312" w:eastAsia="仿宋_GB2312"/>
                <w:szCs w:val="21"/>
              </w:rPr>
              <w:t>数量（</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实际</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完成率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分）</w:t>
            </w:r>
          </w:p>
        </w:tc>
        <w:tc>
          <w:tcPr>
            <w:tcW w:w="1975"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实际完成率</w:t>
            </w:r>
            <w:r>
              <w:rPr>
                <w:rFonts w:ascii="仿宋_GB2312" w:eastAsia="仿宋_GB2312"/>
                <w:szCs w:val="21"/>
              </w:rPr>
              <w:t>=</w:t>
            </w:r>
            <w:r>
              <w:rPr>
                <w:rFonts w:hint="eastAsia" w:ascii="仿宋_GB2312" w:eastAsia="仿宋_GB2312"/>
                <w:szCs w:val="21"/>
              </w:rPr>
              <w:t>（实际产出数</w:t>
            </w:r>
            <w:r>
              <w:rPr>
                <w:rFonts w:ascii="仿宋_GB2312" w:eastAsia="仿宋_GB2312"/>
                <w:szCs w:val="21"/>
              </w:rPr>
              <w:t>/</w:t>
            </w:r>
            <w:r>
              <w:rPr>
                <w:rFonts w:hint="eastAsia" w:ascii="仿宋_GB2312" w:eastAsia="仿宋_GB2312"/>
                <w:szCs w:val="21"/>
              </w:rPr>
              <w:t>计划产出数）×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实际产出数：一定时期（本年度或预算支出期）内预算支出实际产出的产品或提供的服务数量。</w:t>
            </w:r>
            <w:r>
              <w:rPr>
                <w:rFonts w:ascii="仿宋_GB2312" w:eastAsia="仿宋_GB2312"/>
                <w:szCs w:val="21"/>
              </w:rPr>
              <w:br w:type="textWrapping"/>
            </w:r>
            <w:r>
              <w:rPr>
                <w:rFonts w:hint="eastAsia" w:ascii="仿宋_GB2312" w:eastAsia="仿宋_GB2312"/>
                <w:szCs w:val="21"/>
              </w:rPr>
              <w:t>计划产出数：预算支出绩效目标确定的在一定时期（本年度或预算支出期）内计划产出的产品或提供的服务数量。</w:t>
            </w:r>
          </w:p>
        </w:tc>
        <w:tc>
          <w:tcPr>
            <w:tcW w:w="954" w:type="dxa"/>
            <w:vAlign w:val="center"/>
          </w:tcPr>
          <w:p>
            <w:pPr>
              <w:spacing w:line="26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777" w:type="dxa"/>
            <w:vMerge w:val="continue"/>
            <w:noWrap/>
            <w:tcMar>
              <w:top w:w="10" w:type="dxa"/>
              <w:left w:w="10" w:type="dxa"/>
              <w:bottom w:w="0" w:type="dxa"/>
              <w:right w:w="10" w:type="dxa"/>
            </w:tcMar>
            <w:textDirection w:val="tbRlV"/>
            <w:vAlign w:val="center"/>
          </w:tcPr>
          <w:p>
            <w:pPr>
              <w:jc w:val="center"/>
              <w:rPr>
                <w:rFonts w:ascii="仿宋_GB2312" w:eastAsia="仿宋_GB2312"/>
                <w:szCs w:val="21"/>
              </w:rPr>
            </w:pPr>
          </w:p>
        </w:tc>
        <w:tc>
          <w:tcPr>
            <w:tcW w:w="674" w:type="dxa"/>
            <w:tcMar>
              <w:top w:w="10" w:type="dxa"/>
              <w:left w:w="10" w:type="dxa"/>
              <w:bottom w:w="0" w:type="dxa"/>
              <w:right w:w="10" w:type="dxa"/>
            </w:tcMar>
            <w:vAlign w:val="center"/>
          </w:tcPr>
          <w:p>
            <w:pPr>
              <w:jc w:val="center"/>
              <w:rPr>
                <w:rFonts w:ascii="仿宋_GB2312" w:eastAsia="仿宋_GB2312"/>
                <w:szCs w:val="21"/>
              </w:rPr>
            </w:pPr>
            <w:r>
              <w:rPr>
                <w:rFonts w:hint="eastAsia" w:ascii="仿宋_GB2312" w:eastAsia="仿宋_GB2312"/>
                <w:szCs w:val="21"/>
              </w:rPr>
              <w:t>产出</w:t>
            </w:r>
          </w:p>
          <w:p>
            <w:pPr>
              <w:jc w:val="center"/>
              <w:rPr>
                <w:rFonts w:ascii="仿宋_GB2312" w:eastAsia="仿宋_GB2312"/>
                <w:szCs w:val="21"/>
              </w:rPr>
            </w:pPr>
            <w:r>
              <w:rPr>
                <w:rFonts w:hint="eastAsia" w:ascii="仿宋_GB2312" w:eastAsia="仿宋_GB2312"/>
                <w:szCs w:val="21"/>
              </w:rPr>
              <w:t>质量（</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质量</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达标率</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分）</w:t>
            </w:r>
          </w:p>
        </w:tc>
        <w:tc>
          <w:tcPr>
            <w:tcW w:w="1975"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szCs w:val="21"/>
              </w:rPr>
            </w:pPr>
            <w:r>
              <w:rPr>
                <w:rFonts w:ascii="仿宋_GB2312" w:eastAsia="仿宋_GB2312"/>
                <w:szCs w:val="21"/>
              </w:rPr>
              <w:t>100%</w:t>
            </w:r>
            <w:r>
              <w:rPr>
                <w:rFonts w:hint="eastAsia" w:ascii="仿宋_GB2312" w:eastAsia="仿宋_GB2312"/>
                <w:szCs w:val="21"/>
              </w:rPr>
              <w:t>计满分，每下降</w:t>
            </w:r>
            <w:r>
              <w:rPr>
                <w:rFonts w:ascii="仿宋_GB2312" w:eastAsia="仿宋_GB2312"/>
                <w:szCs w:val="21"/>
              </w:rPr>
              <w:t>1%</w:t>
            </w:r>
            <w:r>
              <w:rPr>
                <w:rFonts w:hint="eastAsia" w:ascii="仿宋_GB2312" w:eastAsia="仿宋_GB2312"/>
                <w:szCs w:val="21"/>
              </w:rPr>
              <w:t>扣</w:t>
            </w:r>
            <w:r>
              <w:rPr>
                <w:rFonts w:ascii="仿宋_GB2312" w:eastAsia="仿宋_GB2312"/>
                <w:szCs w:val="21"/>
              </w:rPr>
              <w:t>1</w:t>
            </w:r>
            <w:r>
              <w:rPr>
                <w:rFonts w:hint="eastAsia" w:ascii="仿宋_GB2312" w:eastAsia="仿宋_GB2312"/>
                <w:szCs w:val="21"/>
              </w:rPr>
              <w:t>分，扣完为止。</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质量达标率</w:t>
            </w:r>
            <w:r>
              <w:rPr>
                <w:rFonts w:ascii="仿宋_GB2312" w:eastAsia="仿宋_GB2312"/>
                <w:szCs w:val="21"/>
              </w:rPr>
              <w:t>=</w:t>
            </w:r>
            <w:r>
              <w:rPr>
                <w:rFonts w:hint="eastAsia" w:ascii="仿宋_GB2312" w:eastAsia="仿宋_GB2312"/>
                <w:szCs w:val="21"/>
              </w:rPr>
              <w:t>（质量达标产出数</w:t>
            </w:r>
            <w:r>
              <w:rPr>
                <w:rFonts w:ascii="仿宋_GB2312" w:eastAsia="仿宋_GB2312"/>
                <w:szCs w:val="21"/>
              </w:rPr>
              <w:t>/</w:t>
            </w:r>
            <w:r>
              <w:rPr>
                <w:rFonts w:hint="eastAsia" w:ascii="仿宋_GB2312" w:eastAsia="仿宋_GB2312"/>
                <w:szCs w:val="21"/>
              </w:rPr>
              <w:t>实际产出数）×</w:t>
            </w:r>
            <w:r>
              <w:rPr>
                <w:rFonts w:ascii="仿宋_GB2312" w:eastAsia="仿宋_GB2312"/>
                <w:szCs w:val="21"/>
              </w:rPr>
              <w:t>100%</w:t>
            </w:r>
            <w:r>
              <w:rPr>
                <w:rFonts w:hint="eastAsia" w:ascii="仿宋_GB2312" w:eastAsia="仿宋_GB2312"/>
                <w:szCs w:val="21"/>
              </w:rPr>
              <w:t>。</w:t>
            </w:r>
            <w:r>
              <w:rPr>
                <w:rFonts w:ascii="仿宋_GB2312" w:eastAsia="仿宋_GB2312"/>
                <w:szCs w:val="21"/>
              </w:rPr>
              <w:br w:type="textWrapping"/>
            </w:r>
            <w:r>
              <w:rPr>
                <w:rFonts w:hint="eastAsia" w:ascii="仿宋_GB2312" w:eastAsia="仿宋_GB2312"/>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954" w:type="dxa"/>
            <w:vAlign w:val="center"/>
          </w:tcPr>
          <w:p>
            <w:pPr>
              <w:spacing w:line="26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777" w:type="dxa"/>
            <w:vMerge w:val="continue"/>
            <w:vAlign w:val="center"/>
          </w:tcPr>
          <w:p>
            <w:pPr>
              <w:rPr>
                <w:rFonts w:ascii="仿宋_GB2312" w:eastAsia="仿宋_GB2312"/>
                <w:szCs w:val="21"/>
              </w:rPr>
            </w:pPr>
          </w:p>
        </w:tc>
        <w:tc>
          <w:tcPr>
            <w:tcW w:w="674" w:type="dxa"/>
            <w:vAlign w:val="center"/>
          </w:tcPr>
          <w:p>
            <w:pPr>
              <w:jc w:val="center"/>
              <w:rPr>
                <w:rFonts w:ascii="仿宋_GB2312" w:eastAsia="仿宋_GB2312"/>
                <w:szCs w:val="21"/>
              </w:rPr>
            </w:pPr>
            <w:r>
              <w:rPr>
                <w:rFonts w:hint="eastAsia" w:ascii="仿宋_GB2312" w:eastAsia="仿宋_GB2312"/>
                <w:szCs w:val="21"/>
              </w:rPr>
              <w:t>产出</w:t>
            </w:r>
          </w:p>
          <w:p>
            <w:pPr>
              <w:jc w:val="center"/>
              <w:rPr>
                <w:rFonts w:ascii="仿宋_GB2312" w:eastAsia="仿宋_GB2312"/>
                <w:szCs w:val="21"/>
              </w:rPr>
            </w:pPr>
            <w:r>
              <w:rPr>
                <w:rFonts w:hint="eastAsia" w:ascii="仿宋_GB2312" w:eastAsia="仿宋_GB2312"/>
                <w:szCs w:val="21"/>
              </w:rPr>
              <w:t>时效（</w:t>
            </w:r>
            <w:r>
              <w:rPr>
                <w:rFonts w:ascii="仿宋_GB2312" w:eastAsia="仿宋_GB2312"/>
                <w:szCs w:val="21"/>
              </w:rPr>
              <w:t>10</w:t>
            </w:r>
            <w:r>
              <w:rPr>
                <w:rFonts w:hint="eastAsia" w:ascii="仿宋_GB2312" w:eastAsia="仿宋_GB2312"/>
                <w:szCs w:val="21"/>
              </w:rPr>
              <w:t>）</w:t>
            </w:r>
          </w:p>
        </w:tc>
        <w:tc>
          <w:tcPr>
            <w:tcW w:w="1071" w:type="dxa"/>
            <w:tcMar>
              <w:top w:w="10" w:type="dxa"/>
              <w:left w:w="10" w:type="dxa"/>
              <w:bottom w:w="0" w:type="dxa"/>
              <w:right w:w="10" w:type="dxa"/>
            </w:tcMar>
            <w:vAlign w:val="center"/>
          </w:tcPr>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完成</w:t>
            </w:r>
          </w:p>
          <w:p>
            <w:pPr>
              <w:spacing w:line="260" w:lineRule="exact"/>
              <w:ind w:left="105" w:leftChars="50" w:right="105" w:rightChars="50"/>
              <w:jc w:val="center"/>
              <w:rPr>
                <w:rFonts w:ascii="仿宋_GB2312" w:eastAsia="仿宋_GB2312"/>
                <w:szCs w:val="21"/>
              </w:rPr>
            </w:pPr>
            <w:r>
              <w:rPr>
                <w:rFonts w:hint="eastAsia" w:ascii="仿宋_GB2312" w:eastAsia="仿宋_GB2312"/>
                <w:szCs w:val="21"/>
              </w:rPr>
              <w:t>及时性</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分）</w:t>
            </w:r>
          </w:p>
        </w:tc>
        <w:tc>
          <w:tcPr>
            <w:tcW w:w="1975"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达到绩效目标完成时间计</w:t>
            </w:r>
            <w:r>
              <w:rPr>
                <w:rFonts w:ascii="仿宋_GB2312" w:eastAsia="仿宋_GB2312"/>
                <w:szCs w:val="21"/>
              </w:rPr>
              <w:t>5</w:t>
            </w:r>
            <w:r>
              <w:rPr>
                <w:rFonts w:hint="eastAsia" w:ascii="仿宋_GB2312" w:eastAsia="仿宋_GB2312"/>
                <w:szCs w:val="21"/>
              </w:rPr>
              <w:t>分，超过</w:t>
            </w:r>
            <w:r>
              <w:rPr>
                <w:rFonts w:ascii="仿宋_GB2312" w:eastAsia="仿宋_GB2312"/>
                <w:szCs w:val="21"/>
              </w:rPr>
              <w:t>30%</w:t>
            </w:r>
            <w:r>
              <w:rPr>
                <w:rFonts w:hint="eastAsia" w:ascii="仿宋_GB2312" w:eastAsia="仿宋_GB2312"/>
                <w:szCs w:val="21"/>
              </w:rPr>
              <w:t>的不计分。</w:t>
            </w:r>
          </w:p>
        </w:tc>
        <w:tc>
          <w:tcPr>
            <w:tcW w:w="4482" w:type="dxa"/>
            <w:tcMar>
              <w:top w:w="10" w:type="dxa"/>
              <w:left w:w="10" w:type="dxa"/>
              <w:bottom w:w="0" w:type="dxa"/>
              <w:right w:w="10" w:type="dxa"/>
            </w:tcMar>
            <w:vAlign w:val="center"/>
          </w:tcPr>
          <w:p>
            <w:pPr>
              <w:spacing w:line="260" w:lineRule="exact"/>
              <w:ind w:left="105" w:leftChars="50" w:right="105" w:rightChars="50"/>
              <w:rPr>
                <w:rFonts w:ascii="仿宋_GB2312" w:eastAsia="仿宋_GB2312"/>
                <w:szCs w:val="21"/>
              </w:rPr>
            </w:pPr>
            <w:r>
              <w:rPr>
                <w:rFonts w:hint="eastAsia" w:ascii="仿宋_GB2312" w:eastAsia="仿宋_GB2312"/>
                <w:szCs w:val="21"/>
              </w:rPr>
              <w:t>实际完成时间：预算支出实施单位完成该预算支出实际所耗用的时间。</w:t>
            </w:r>
            <w:r>
              <w:rPr>
                <w:rFonts w:ascii="仿宋_GB2312" w:eastAsia="仿宋_GB2312"/>
                <w:szCs w:val="21"/>
              </w:rPr>
              <w:br w:type="textWrapping"/>
            </w:r>
            <w:r>
              <w:rPr>
                <w:rFonts w:hint="eastAsia" w:ascii="仿宋_GB2312" w:eastAsia="仿宋_GB2312"/>
                <w:szCs w:val="21"/>
              </w:rPr>
              <w:t>计划完成时间：按照预算支出实施计划或相关规定完成该预算支出所需的时间。</w:t>
            </w:r>
          </w:p>
        </w:tc>
        <w:tc>
          <w:tcPr>
            <w:tcW w:w="954" w:type="dxa"/>
            <w:vAlign w:val="center"/>
          </w:tcPr>
          <w:p>
            <w:pPr>
              <w:spacing w:line="26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10</w:t>
            </w:r>
          </w:p>
        </w:tc>
      </w:tr>
    </w:tbl>
    <w:p>
      <w:pPr>
        <w:widowControl/>
        <w:spacing w:line="600" w:lineRule="exact"/>
        <w:jc w:val="left"/>
        <w:rPr>
          <w:rFonts w:eastAsia="黑体"/>
          <w:sz w:val="32"/>
          <w:szCs w:val="32"/>
        </w:rPr>
      </w:pPr>
      <w:r>
        <w:rPr>
          <w:rFonts w:hint="eastAsia" w:eastAsia="黑体"/>
          <w:sz w:val="32"/>
          <w:szCs w:val="32"/>
        </w:rPr>
        <w:t>附件</w:t>
      </w:r>
      <w:r>
        <w:rPr>
          <w:rFonts w:eastAsia="黑体"/>
          <w:sz w:val="32"/>
          <w:szCs w:val="32"/>
        </w:rPr>
        <w:t>4-2</w:t>
      </w:r>
    </w:p>
    <w:tbl>
      <w:tblPr>
        <w:tblStyle w:val="5"/>
        <w:tblW w:w="9999" w:type="dxa"/>
        <w:jc w:val="center"/>
        <w:tblLayout w:type="autofit"/>
        <w:tblCellMar>
          <w:top w:w="0" w:type="dxa"/>
          <w:left w:w="108" w:type="dxa"/>
          <w:bottom w:w="0" w:type="dxa"/>
          <w:right w:w="108" w:type="dxa"/>
        </w:tblCellMar>
      </w:tblPr>
      <w:tblGrid>
        <w:gridCol w:w="1135"/>
        <w:gridCol w:w="992"/>
        <w:gridCol w:w="1261"/>
        <w:gridCol w:w="1224"/>
        <w:gridCol w:w="1134"/>
        <w:gridCol w:w="1134"/>
        <w:gridCol w:w="828"/>
        <w:gridCol w:w="873"/>
        <w:gridCol w:w="1418"/>
      </w:tblGrid>
      <w:tr>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noWrap/>
            <w:vAlign w:val="center"/>
          </w:tcPr>
          <w:p>
            <w:pPr>
              <w:widowControl/>
              <w:spacing w:line="400" w:lineRule="exact"/>
              <w:jc w:val="center"/>
              <w:rPr>
                <w:rFonts w:eastAsia="方正小标宋_GBK"/>
                <w:color w:val="000000"/>
                <w:kern w:val="0"/>
                <w:sz w:val="36"/>
                <w:szCs w:val="36"/>
              </w:rPr>
            </w:pPr>
            <w:r>
              <w:rPr>
                <w:rFonts w:hint="eastAsia"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spacing w:line="320" w:lineRule="exact"/>
              <w:jc w:val="center"/>
              <w:rPr>
                <w:color w:val="000000"/>
                <w:kern w:val="0"/>
                <w:sz w:val="22"/>
              </w:rPr>
            </w:pPr>
            <w:r>
              <w:rPr>
                <w:rFonts w:hint="eastAsia"/>
                <w:color w:val="000000"/>
                <w:kern w:val="0"/>
                <w:sz w:val="22"/>
              </w:rPr>
              <w:t>（</w:t>
            </w:r>
            <w:r>
              <w:rPr>
                <w:color w:val="000000"/>
                <w:kern w:val="0"/>
                <w:sz w:val="22"/>
              </w:rPr>
              <w:t xml:space="preserve">  </w:t>
            </w:r>
            <w:r>
              <w:rPr>
                <w:rFonts w:hint="eastAsia"/>
                <w:color w:val="000000"/>
                <w:kern w:val="0"/>
                <w:sz w:val="22"/>
                <w:lang w:val="en-US" w:eastAsia="zh-CN"/>
              </w:rPr>
              <w:t>2020</w:t>
            </w:r>
            <w:r>
              <w:rPr>
                <w:color w:val="000000"/>
                <w:kern w:val="0"/>
                <w:sz w:val="22"/>
              </w:rPr>
              <w:t xml:space="preserve"> </w:t>
            </w:r>
            <w:r>
              <w:rPr>
                <w:rFonts w:hint="eastAsia"/>
                <w:color w:val="000000"/>
                <w:kern w:val="0"/>
                <w:sz w:val="22"/>
              </w:rPr>
              <w:t>年度）</w:t>
            </w: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项目支</w:t>
            </w:r>
          </w:p>
          <w:p>
            <w:pPr>
              <w:widowControl/>
              <w:spacing w:line="320" w:lineRule="exact"/>
              <w:jc w:val="center"/>
              <w:rPr>
                <w:rFonts w:eastAsia="仿宋_GB2312"/>
                <w:color w:val="000000"/>
                <w:kern w:val="0"/>
                <w:szCs w:val="21"/>
              </w:rPr>
            </w:pPr>
            <w:r>
              <w:rPr>
                <w:rFonts w:hint="eastAsia"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2020年度部门整体支出　　</w:t>
            </w:r>
          </w:p>
        </w:tc>
      </w:tr>
      <w:tr>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主管部门</w:t>
            </w:r>
          </w:p>
        </w:tc>
        <w:tc>
          <w:tcPr>
            <w:tcW w:w="4611"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项目资金</w:t>
            </w:r>
            <w:r>
              <w:rPr>
                <w:rFonts w:eastAsia="仿宋_GB2312"/>
                <w:color w:val="000000"/>
                <w:kern w:val="0"/>
                <w:szCs w:val="21"/>
              </w:rPr>
              <w:br w:type="textWrapping"/>
            </w:r>
            <w:r>
              <w:rPr>
                <w:rFonts w:hint="eastAsia" w:eastAsia="仿宋_GB2312"/>
                <w:color w:val="000000"/>
                <w:kern w:val="0"/>
                <w:szCs w:val="21"/>
              </w:rPr>
              <w:t>（万元）</w:t>
            </w:r>
          </w:p>
        </w:tc>
        <w:tc>
          <w:tcPr>
            <w:tcW w:w="2253"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22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年初预算数</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全年预算数</w:t>
            </w:r>
          </w:p>
        </w:tc>
        <w:tc>
          <w:tcPr>
            <w:tcW w:w="1134"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全年执行数</w:t>
            </w:r>
          </w:p>
        </w:tc>
        <w:tc>
          <w:tcPr>
            <w:tcW w:w="828"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分值</w:t>
            </w:r>
          </w:p>
        </w:tc>
        <w:tc>
          <w:tcPr>
            <w:tcW w:w="873"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执行率</w:t>
            </w:r>
          </w:p>
        </w:tc>
        <w:tc>
          <w:tcPr>
            <w:tcW w:w="1418" w:type="dxa"/>
            <w:tcBorders>
              <w:top w:val="nil"/>
              <w:left w:val="nil"/>
              <w:bottom w:val="single" w:color="auto" w:sz="4" w:space="0"/>
              <w:right w:val="single" w:color="auto" w:sz="4" w:space="0"/>
            </w:tcBorders>
          </w:tcPr>
          <w:p>
            <w:pPr>
              <w:spacing w:line="320" w:lineRule="exact"/>
              <w:rPr>
                <w:rFonts w:eastAsia="仿宋_GB2312"/>
                <w:szCs w:val="21"/>
              </w:rPr>
            </w:pPr>
            <w:r>
              <w:rPr>
                <w:rFonts w:hint="eastAsia"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2253"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年度资金总额　</w:t>
            </w:r>
          </w:p>
        </w:tc>
        <w:tc>
          <w:tcPr>
            <w:tcW w:w="1224"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994.84</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1123.37</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1123.37</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113%</w:t>
            </w:r>
          </w:p>
        </w:tc>
        <w:tc>
          <w:tcPr>
            <w:tcW w:w="1418"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2253" w:type="dxa"/>
            <w:gridSpan w:val="2"/>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其中：当年财政拨款　</w:t>
            </w:r>
          </w:p>
        </w:tc>
        <w:tc>
          <w:tcPr>
            <w:tcW w:w="1224"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970.9</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1099.43</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1099.43</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113%</w:t>
            </w:r>
          </w:p>
        </w:tc>
        <w:tc>
          <w:tcPr>
            <w:tcW w:w="1418"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2253"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eastAsia="仿宋_GB2312"/>
                <w:color w:val="000000"/>
                <w:kern w:val="0"/>
                <w:szCs w:val="21"/>
              </w:rPr>
            </w:pPr>
            <w:r>
              <w:rPr>
                <w:rFonts w:hint="eastAsia" w:eastAsia="仿宋_GB2312"/>
                <w:color w:val="000000"/>
                <w:kern w:val="0"/>
                <w:szCs w:val="21"/>
              </w:rPr>
              <w:t>上年结转资金　</w:t>
            </w:r>
          </w:p>
        </w:tc>
        <w:tc>
          <w:tcPr>
            <w:tcW w:w="1224"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23.94</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23.94</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23.94</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eastAsia="仿宋_GB2312"/>
                <w:color w:val="000000"/>
                <w:kern w:val="0"/>
                <w:szCs w:val="21"/>
              </w:rPr>
            </w:pPr>
          </w:p>
        </w:tc>
        <w:tc>
          <w:tcPr>
            <w:tcW w:w="2253"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eastAsia="仿宋_GB2312"/>
                <w:color w:val="000000"/>
                <w:kern w:val="0"/>
                <w:szCs w:val="21"/>
              </w:rPr>
            </w:pPr>
            <w:r>
              <w:rPr>
                <w:rFonts w:hint="eastAsia" w:eastAsia="仿宋_GB2312"/>
                <w:color w:val="000000"/>
                <w:kern w:val="0"/>
                <w:szCs w:val="21"/>
              </w:rPr>
              <w:t>其他资金</w:t>
            </w:r>
          </w:p>
        </w:tc>
        <w:tc>
          <w:tcPr>
            <w:tcW w:w="122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年度总</w:t>
            </w:r>
          </w:p>
          <w:p>
            <w:pPr>
              <w:widowControl/>
              <w:spacing w:line="320" w:lineRule="exact"/>
              <w:jc w:val="center"/>
              <w:rPr>
                <w:rFonts w:eastAsia="仿宋_GB2312"/>
                <w:color w:val="000000"/>
                <w:kern w:val="0"/>
                <w:szCs w:val="21"/>
              </w:rPr>
            </w:pPr>
            <w:r>
              <w:rPr>
                <w:rFonts w:hint="eastAsia" w:eastAsia="仿宋_GB2312"/>
                <w:color w:val="000000"/>
                <w:kern w:val="0"/>
                <w:szCs w:val="21"/>
              </w:rPr>
              <w:t>体目标</w:t>
            </w: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trHeight w:val="715"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4611" w:type="dxa"/>
            <w:gridSpan w:val="4"/>
            <w:tcBorders>
              <w:top w:val="single" w:color="auto" w:sz="4" w:space="0"/>
              <w:left w:val="nil"/>
              <w:bottom w:val="single" w:color="auto" w:sz="4" w:space="0"/>
              <w:right w:val="single" w:color="000000"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both"/>
              <w:rPr>
                <w:rFonts w:hint="default" w:ascii="Times New Roman" w:hAnsi="Times New Roman" w:cs="Times New Roman"/>
                <w:i w:val="0"/>
                <w:iCs w:val="0"/>
                <w:caps w:val="0"/>
                <w:color w:val="3D3D3D"/>
                <w:spacing w:val="0"/>
                <w:sz w:val="27"/>
                <w:szCs w:val="27"/>
              </w:rPr>
            </w:pPr>
            <w:r>
              <w:rPr>
                <w:rFonts w:ascii="仿宋" w:hAnsi="仿宋" w:eastAsia="仿宋" w:cs="仿宋"/>
                <w:i w:val="0"/>
                <w:iCs w:val="0"/>
                <w:caps w:val="0"/>
                <w:color w:val="000000"/>
                <w:spacing w:val="0"/>
                <w:kern w:val="0"/>
                <w:sz w:val="21"/>
                <w:szCs w:val="21"/>
                <w:shd w:val="clear" w:fill="FFFFFF"/>
                <w:vertAlign w:val="baseline"/>
                <w:lang w:val="en-US" w:eastAsia="zh-CN" w:bidi="ar"/>
              </w:rPr>
              <w:t>目标</w:t>
            </w:r>
            <w:r>
              <w:rPr>
                <w:rFonts w:hint="eastAsia" w:ascii="仿宋" w:hAnsi="仿宋" w:eastAsia="仿宋" w:cs="仿宋"/>
                <w:i w:val="0"/>
                <w:iCs w:val="0"/>
                <w:caps w:val="0"/>
                <w:color w:val="000000"/>
                <w:spacing w:val="0"/>
                <w:kern w:val="0"/>
                <w:sz w:val="21"/>
                <w:szCs w:val="21"/>
                <w:shd w:val="clear" w:fill="FFFFFF"/>
                <w:vertAlign w:val="baseline"/>
                <w:lang w:val="en-US" w:eastAsia="zh-CN" w:bidi="ar"/>
              </w:rPr>
              <w:t>1：贯彻执行规划建设，基础设施建设，稳定和完善农村基本经营管理，全面实施乡政府各项决策部署，确保各项工作目标任务圆满完成。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both"/>
              <w:rPr>
                <w:rFonts w:hint="default" w:ascii="Times New Roman" w:hAnsi="Times New Roman" w:cs="Times New Roman"/>
                <w:i w:val="0"/>
                <w:iCs w:val="0"/>
                <w:caps w:val="0"/>
                <w:color w:val="3D3D3D"/>
                <w:spacing w:val="0"/>
                <w:sz w:val="27"/>
                <w:szCs w:val="27"/>
              </w:rPr>
            </w:pPr>
            <w:r>
              <w:rPr>
                <w:rFonts w:hint="eastAsia" w:ascii="仿宋" w:hAnsi="仿宋" w:eastAsia="仿宋" w:cs="仿宋"/>
                <w:i w:val="0"/>
                <w:iCs w:val="0"/>
                <w:caps w:val="0"/>
                <w:color w:val="000000"/>
                <w:spacing w:val="0"/>
                <w:kern w:val="0"/>
                <w:sz w:val="21"/>
                <w:szCs w:val="21"/>
                <w:shd w:val="clear" w:fill="FFFFFF"/>
                <w:vertAlign w:val="baseline"/>
                <w:lang w:val="en-US" w:eastAsia="zh-CN" w:bidi="ar"/>
              </w:rPr>
              <w:t>目标2：计划完成三公经费支出预算金额的100%</w:t>
            </w:r>
            <w:r>
              <w:rPr>
                <w:rFonts w:hint="default" w:ascii="Times New Roman" w:hAnsi="Times New Roman" w:eastAsia="宋体" w:cs="Times New Roman"/>
                <w:i w:val="0"/>
                <w:iCs w:val="0"/>
                <w:caps w:val="0"/>
                <w:color w:val="000000"/>
                <w:spacing w:val="0"/>
                <w:kern w:val="0"/>
                <w:sz w:val="21"/>
                <w:szCs w:val="21"/>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both"/>
              <w:rPr>
                <w:rFonts w:hint="default" w:ascii="Times New Roman" w:hAnsi="Times New Roman" w:cs="Times New Roman"/>
                <w:i w:val="0"/>
                <w:iCs w:val="0"/>
                <w:caps w:val="0"/>
                <w:color w:val="3D3D3D"/>
                <w:spacing w:val="0"/>
                <w:sz w:val="27"/>
                <w:szCs w:val="27"/>
              </w:rPr>
            </w:pPr>
            <w:r>
              <w:rPr>
                <w:rFonts w:hint="eastAsia" w:ascii="仿宋" w:hAnsi="仿宋" w:eastAsia="仿宋" w:cs="仿宋"/>
                <w:i w:val="0"/>
                <w:iCs w:val="0"/>
                <w:caps w:val="0"/>
                <w:color w:val="000000"/>
                <w:spacing w:val="0"/>
                <w:kern w:val="0"/>
                <w:sz w:val="21"/>
                <w:szCs w:val="21"/>
                <w:shd w:val="clear" w:fill="FFFFFF"/>
                <w:vertAlign w:val="baseline"/>
                <w:lang w:val="en-US" w:eastAsia="zh-CN" w:bidi="ar"/>
              </w:rPr>
              <w:t>目标3：</w:t>
            </w:r>
            <w:r>
              <w:rPr>
                <w:rFonts w:hint="default" w:ascii="Times New Roman" w:hAnsi="Times New Roman" w:eastAsia="宋体" w:cs="Times New Roman"/>
                <w:i w:val="0"/>
                <w:iCs w:val="0"/>
                <w:caps w:val="0"/>
                <w:color w:val="000000"/>
                <w:spacing w:val="0"/>
                <w:kern w:val="0"/>
                <w:sz w:val="21"/>
                <w:szCs w:val="21"/>
                <w:shd w:val="clear" w:fill="FFFFFF"/>
                <w:vertAlign w:val="baseline"/>
                <w:lang w:val="en-US" w:eastAsia="zh-CN" w:bidi="ar"/>
              </w:rPr>
              <w:t> </w:t>
            </w:r>
            <w:r>
              <w:rPr>
                <w:rFonts w:hint="eastAsia" w:ascii="仿宋" w:hAnsi="仿宋" w:eastAsia="仿宋" w:cs="仿宋"/>
                <w:i w:val="0"/>
                <w:iCs w:val="0"/>
                <w:caps w:val="0"/>
                <w:color w:val="000000"/>
                <w:spacing w:val="0"/>
                <w:kern w:val="0"/>
                <w:sz w:val="21"/>
                <w:szCs w:val="21"/>
                <w:shd w:val="clear" w:fill="FFFFFF"/>
                <w:vertAlign w:val="baseline"/>
                <w:lang w:val="en-US" w:eastAsia="zh-CN" w:bidi="ar"/>
              </w:rPr>
              <w:t>严格把控财政资金的用途</w:t>
            </w:r>
            <w:r>
              <w:rPr>
                <w:rFonts w:hint="default" w:ascii="Times New Roman" w:hAnsi="Times New Roman" w:eastAsia="宋体" w:cs="Times New Roman"/>
                <w:i w:val="0"/>
                <w:iCs w:val="0"/>
                <w:caps w:val="0"/>
                <w:color w:val="000000"/>
                <w:spacing w:val="0"/>
                <w:kern w:val="0"/>
                <w:sz w:val="21"/>
                <w:szCs w:val="21"/>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both"/>
              <w:rPr>
                <w:rFonts w:eastAsia="仿宋_GB2312"/>
                <w:color w:val="000000"/>
                <w:kern w:val="0"/>
                <w:szCs w:val="21"/>
              </w:rPr>
            </w:pPr>
            <w:r>
              <w:rPr>
                <w:rFonts w:hint="default" w:ascii="Times New Roman" w:hAnsi="Times New Roman" w:eastAsia="宋体" w:cs="Times New Roman"/>
                <w:i w:val="0"/>
                <w:iCs w:val="0"/>
                <w:caps w:val="0"/>
                <w:color w:val="000000"/>
                <w:spacing w:val="0"/>
                <w:kern w:val="0"/>
                <w:sz w:val="21"/>
                <w:szCs w:val="21"/>
                <w:shd w:val="clear" w:fill="FFFFFF"/>
                <w:vertAlign w:val="baseline"/>
                <w:lang w:val="en-US" w:eastAsia="zh-CN" w:bidi="ar"/>
              </w:rPr>
              <w:t> </w:t>
            </w:r>
            <w:r>
              <w:rPr>
                <w:rFonts w:hint="eastAsia" w:ascii="仿宋" w:hAnsi="仿宋" w:eastAsia="仿宋" w:cs="仿宋"/>
                <w:i w:val="0"/>
                <w:iCs w:val="0"/>
                <w:caps w:val="0"/>
                <w:color w:val="000000"/>
                <w:spacing w:val="0"/>
                <w:kern w:val="0"/>
                <w:sz w:val="21"/>
                <w:szCs w:val="21"/>
                <w:shd w:val="clear" w:fill="FFFFFF"/>
                <w:vertAlign w:val="baseline"/>
                <w:lang w:val="en-US" w:eastAsia="zh-CN" w:bidi="ar"/>
              </w:rPr>
              <w:t>目标4：计划完成基本支出预算金额的100%</w:t>
            </w:r>
            <w:r>
              <w:rPr>
                <w:rFonts w:hint="default" w:ascii="Times New Roman" w:hAnsi="Times New Roman" w:eastAsia="宋体" w:cs="Times New Roman"/>
                <w:i w:val="0"/>
                <w:iCs w:val="0"/>
                <w:caps w:val="0"/>
                <w:color w:val="000000"/>
                <w:spacing w:val="0"/>
                <w:kern w:val="0"/>
                <w:sz w:val="21"/>
                <w:szCs w:val="21"/>
                <w:shd w:val="clear" w:fill="FFFFFF"/>
                <w:vertAlign w:val="baseline"/>
                <w:lang w:val="en-US" w:eastAsia="zh-CN" w:bidi="ar"/>
              </w:rPr>
              <w:t>     </w:t>
            </w:r>
            <w:r>
              <w:rPr>
                <w:rFonts w:hint="eastAsia" w:ascii="仿宋" w:hAnsi="仿宋" w:eastAsia="仿宋" w:cs="仿宋"/>
                <w:i w:val="0"/>
                <w:iCs w:val="0"/>
                <w:caps w:val="0"/>
                <w:color w:val="000000"/>
                <w:spacing w:val="0"/>
                <w:kern w:val="0"/>
                <w:sz w:val="21"/>
                <w:szCs w:val="21"/>
                <w:shd w:val="clear" w:fill="FFFFFF"/>
                <w:vertAlign w:val="baseline"/>
                <w:lang w:val="en-US" w:eastAsia="zh-CN" w:bidi="ar"/>
              </w:rPr>
              <w:t>　</w:t>
            </w:r>
            <w:r>
              <w:rPr>
                <w:rFonts w:hint="eastAsia" w:eastAsia="仿宋_GB2312"/>
                <w:color w:val="000000"/>
                <w:kern w:val="0"/>
                <w:szCs w:val="21"/>
              </w:rPr>
              <w:t>　　</w:t>
            </w:r>
          </w:p>
        </w:tc>
        <w:tc>
          <w:tcPr>
            <w:tcW w:w="4253"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left"/>
              <w:rPr>
                <w:rFonts w:hint="default" w:ascii="Times New Roman" w:hAnsi="Times New Roman" w:cs="Times New Roman"/>
                <w:i w:val="0"/>
                <w:iCs w:val="0"/>
                <w:caps w:val="0"/>
                <w:color w:val="3D3D3D"/>
                <w:spacing w:val="0"/>
                <w:sz w:val="27"/>
                <w:szCs w:val="27"/>
              </w:rPr>
            </w:pPr>
            <w:r>
              <w:rPr>
                <w:rFonts w:hint="eastAsia" w:eastAsia="仿宋_GB2312"/>
                <w:color w:val="000000"/>
                <w:kern w:val="0"/>
                <w:szCs w:val="21"/>
              </w:rPr>
              <w:t>　</w:t>
            </w:r>
            <w:r>
              <w:rPr>
                <w:rFonts w:ascii="仿宋" w:hAnsi="仿宋" w:eastAsia="仿宋" w:cs="仿宋"/>
                <w:i w:val="0"/>
                <w:iCs w:val="0"/>
                <w:caps w:val="0"/>
                <w:color w:val="000000"/>
                <w:spacing w:val="0"/>
                <w:kern w:val="0"/>
                <w:sz w:val="21"/>
                <w:szCs w:val="21"/>
                <w:shd w:val="clear" w:fill="FFFFFF"/>
                <w:vertAlign w:val="baseline"/>
                <w:lang w:val="en-US" w:eastAsia="zh-CN" w:bidi="ar"/>
              </w:rPr>
              <w:t>1</w:t>
            </w:r>
            <w:r>
              <w:rPr>
                <w:rFonts w:hint="eastAsia" w:ascii="仿宋" w:hAnsi="仿宋" w:eastAsia="仿宋" w:cs="仿宋"/>
                <w:i w:val="0"/>
                <w:iCs w:val="0"/>
                <w:caps w:val="0"/>
                <w:color w:val="000000"/>
                <w:spacing w:val="0"/>
                <w:kern w:val="0"/>
                <w:sz w:val="21"/>
                <w:szCs w:val="21"/>
                <w:shd w:val="clear" w:fill="FFFFFF"/>
                <w:vertAlign w:val="baseline"/>
                <w:lang w:val="en-US" w:eastAsia="zh-CN" w:bidi="ar"/>
              </w:rPr>
              <w:t>、</w:t>
            </w:r>
            <w:r>
              <w:rPr>
                <w:rFonts w:hint="eastAsia" w:ascii="仿宋" w:hAnsi="仿宋" w:eastAsia="仿宋" w:cs="仿宋"/>
                <w:i w:val="0"/>
                <w:iCs w:val="0"/>
                <w:caps w:val="0"/>
                <w:color w:val="auto"/>
                <w:spacing w:val="0"/>
                <w:kern w:val="0"/>
                <w:sz w:val="21"/>
                <w:szCs w:val="21"/>
                <w:shd w:val="clear" w:fill="FFFFFF"/>
                <w:vertAlign w:val="baseline"/>
                <w:lang w:val="en-US" w:eastAsia="zh-CN" w:bidi="ar"/>
              </w:rPr>
              <w:t>实现了乡政府正常运转，各职能部门正常履职，对负责的社会事务加强管理，确保了各项决策部署全面落实，以实现全乡和谐发展、社会稳定。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210"/>
              <w:jc w:val="left"/>
              <w:rPr>
                <w:rFonts w:hint="default" w:ascii="Times New Roman" w:hAnsi="Times New Roman" w:cs="Times New Roman"/>
                <w:i w:val="0"/>
                <w:iCs w:val="0"/>
                <w:caps w:val="0"/>
                <w:color w:val="3D3D3D"/>
                <w:spacing w:val="0"/>
                <w:sz w:val="27"/>
                <w:szCs w:val="27"/>
              </w:rPr>
            </w:pPr>
            <w:r>
              <w:rPr>
                <w:rFonts w:hint="eastAsia" w:ascii="仿宋" w:hAnsi="仿宋" w:eastAsia="仿宋" w:cs="仿宋"/>
                <w:i w:val="0"/>
                <w:iCs w:val="0"/>
                <w:caps w:val="0"/>
                <w:color w:val="auto"/>
                <w:spacing w:val="0"/>
                <w:kern w:val="0"/>
                <w:sz w:val="21"/>
                <w:szCs w:val="21"/>
                <w:shd w:val="clear" w:fill="FFFFFF"/>
                <w:vertAlign w:val="baseline"/>
                <w:lang w:val="en-US" w:eastAsia="zh-CN" w:bidi="ar"/>
              </w:rPr>
              <w:t>2、按计划完成三公经费支出预算达100%。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210"/>
              <w:jc w:val="left"/>
              <w:rPr>
                <w:rFonts w:hint="default" w:ascii="Times New Roman" w:hAnsi="Times New Roman" w:cs="Times New Roman"/>
                <w:i w:val="0"/>
                <w:iCs w:val="0"/>
                <w:caps w:val="0"/>
                <w:color w:val="3D3D3D"/>
                <w:spacing w:val="0"/>
                <w:sz w:val="27"/>
                <w:szCs w:val="27"/>
              </w:rPr>
            </w:pPr>
            <w:r>
              <w:rPr>
                <w:rFonts w:hint="eastAsia" w:ascii="仿宋" w:hAnsi="仿宋" w:eastAsia="仿宋" w:cs="仿宋"/>
                <w:i w:val="0"/>
                <w:iCs w:val="0"/>
                <w:caps w:val="0"/>
                <w:color w:val="auto"/>
                <w:spacing w:val="0"/>
                <w:kern w:val="0"/>
                <w:sz w:val="21"/>
                <w:szCs w:val="21"/>
                <w:shd w:val="clear" w:fill="FFFFFF"/>
                <w:vertAlign w:val="baseline"/>
                <w:lang w:val="en-US" w:eastAsia="zh-CN" w:bidi="ar"/>
              </w:rPr>
              <w:t>3、按照财政资金使用用途和目的，健全了资金管理制度，认真执行年初预算资金计划，账务核算及时规范。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210"/>
              <w:jc w:val="left"/>
              <w:rPr>
                <w:rFonts w:eastAsia="仿宋_GB2312"/>
                <w:color w:val="000000"/>
                <w:kern w:val="0"/>
                <w:szCs w:val="21"/>
              </w:rPr>
            </w:pPr>
            <w:r>
              <w:rPr>
                <w:rFonts w:hint="eastAsia" w:ascii="仿宋" w:hAnsi="仿宋" w:eastAsia="仿宋" w:cs="仿宋"/>
                <w:i w:val="0"/>
                <w:iCs w:val="0"/>
                <w:caps w:val="0"/>
                <w:color w:val="auto"/>
                <w:spacing w:val="0"/>
                <w:kern w:val="0"/>
                <w:sz w:val="21"/>
                <w:szCs w:val="21"/>
                <w:shd w:val="clear" w:fill="FFFFFF"/>
                <w:vertAlign w:val="baseline"/>
                <w:lang w:val="en-US" w:eastAsia="zh-CN" w:bidi="ar"/>
              </w:rPr>
              <w:t>4、按计划完成基本支出预算金额达100%。</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绩</w:t>
            </w:r>
          </w:p>
          <w:p>
            <w:pPr>
              <w:widowControl/>
              <w:spacing w:line="320" w:lineRule="exact"/>
              <w:jc w:val="center"/>
              <w:rPr>
                <w:rFonts w:eastAsia="仿宋_GB2312"/>
                <w:color w:val="000000"/>
                <w:kern w:val="0"/>
                <w:szCs w:val="21"/>
              </w:rPr>
            </w:pPr>
            <w:r>
              <w:rPr>
                <w:rFonts w:hint="eastAsia" w:eastAsia="仿宋_GB2312"/>
                <w:color w:val="000000"/>
                <w:kern w:val="0"/>
                <w:szCs w:val="21"/>
              </w:rPr>
              <w:t>效</w:t>
            </w:r>
          </w:p>
          <w:p>
            <w:pPr>
              <w:widowControl/>
              <w:spacing w:line="320" w:lineRule="exact"/>
              <w:jc w:val="center"/>
              <w:rPr>
                <w:rFonts w:eastAsia="仿宋_GB2312"/>
                <w:color w:val="000000"/>
                <w:kern w:val="0"/>
                <w:szCs w:val="21"/>
              </w:rPr>
            </w:pPr>
            <w:r>
              <w:rPr>
                <w:rFonts w:hint="eastAsia" w:eastAsia="仿宋_GB2312"/>
                <w:color w:val="000000"/>
                <w:kern w:val="0"/>
                <w:szCs w:val="21"/>
              </w:rPr>
              <w:t>指</w:t>
            </w:r>
          </w:p>
          <w:p>
            <w:pPr>
              <w:widowControl/>
              <w:spacing w:line="320" w:lineRule="exact"/>
              <w:jc w:val="center"/>
              <w:rPr>
                <w:rFonts w:eastAsia="仿宋_GB2312"/>
                <w:color w:val="000000"/>
                <w:kern w:val="0"/>
                <w:szCs w:val="21"/>
              </w:rPr>
            </w:pPr>
            <w:r>
              <w:rPr>
                <w:rFonts w:hint="eastAsia"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二级指标</w:t>
            </w: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年度</w:t>
            </w:r>
          </w:p>
          <w:p>
            <w:pPr>
              <w:widowControl/>
              <w:spacing w:line="320" w:lineRule="exact"/>
              <w:jc w:val="center"/>
              <w:rPr>
                <w:rFonts w:eastAsia="仿宋_GB2312"/>
                <w:color w:val="000000"/>
                <w:kern w:val="0"/>
                <w:szCs w:val="21"/>
              </w:rPr>
            </w:pPr>
            <w:r>
              <w:rPr>
                <w:rFonts w:hint="eastAsia"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实际</w:t>
            </w:r>
          </w:p>
          <w:p>
            <w:pPr>
              <w:widowControl/>
              <w:spacing w:line="320" w:lineRule="exact"/>
              <w:jc w:val="center"/>
              <w:rPr>
                <w:rFonts w:eastAsia="仿宋_GB2312"/>
                <w:color w:val="000000"/>
                <w:kern w:val="0"/>
                <w:szCs w:val="21"/>
              </w:rPr>
            </w:pPr>
            <w:r>
              <w:rPr>
                <w:rFonts w:hint="eastAsia"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320" w:lineRule="exact"/>
              <w:jc w:val="center"/>
              <w:rPr>
                <w:rFonts w:eastAsia="仿宋_GB2312"/>
                <w:color w:val="000000"/>
                <w:kern w:val="0"/>
                <w:szCs w:val="21"/>
              </w:rPr>
            </w:pPr>
            <w:r>
              <w:rPr>
                <w:rFonts w:hint="eastAsia" w:eastAsia="仿宋_GB2312"/>
                <w:color w:val="000000"/>
                <w:kern w:val="0"/>
                <w:szCs w:val="21"/>
              </w:rPr>
              <w:t>分析及</w:t>
            </w:r>
          </w:p>
          <w:p>
            <w:pPr>
              <w:widowControl/>
              <w:spacing w:line="320" w:lineRule="exact"/>
              <w:jc w:val="center"/>
              <w:rPr>
                <w:rFonts w:eastAsia="仿宋_GB2312"/>
                <w:color w:val="000000"/>
                <w:kern w:val="0"/>
                <w:szCs w:val="21"/>
              </w:rPr>
            </w:pPr>
            <w:r>
              <w:rPr>
                <w:rFonts w:hint="eastAsia"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产出</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center"/>
              <w:rPr>
                <w:rFonts w:eastAsia="仿宋_GB2312"/>
                <w:color w:val="000000"/>
                <w:kern w:val="0"/>
                <w:szCs w:val="21"/>
              </w:rPr>
            </w:pPr>
          </w:p>
          <w:p>
            <w:pPr>
              <w:widowControl/>
              <w:spacing w:line="32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261"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数量指标</w:t>
            </w: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财政供养人员控制率</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7.5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rPr>
            </w:pPr>
            <w:r>
              <w:rPr>
                <w:rFonts w:hint="eastAsia" w:eastAsia="仿宋_GB2312"/>
                <w:color w:val="000000"/>
                <w:kern w:val="0"/>
                <w:szCs w:val="21"/>
                <w:lang w:val="en-US" w:eastAsia="zh-CN"/>
              </w:rPr>
              <w:t>7.5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三公经费控制率</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99.76%</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rPr>
            </w:pPr>
            <w:r>
              <w:rPr>
                <w:rFonts w:hint="eastAsia" w:eastAsia="仿宋_GB2312"/>
                <w:color w:val="000000"/>
                <w:kern w:val="0"/>
                <w:szCs w:val="21"/>
                <w:lang w:val="en-US" w:eastAsia="zh-CN"/>
              </w:rPr>
              <w:t>7.5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rPr>
            </w:pPr>
            <w:r>
              <w:rPr>
                <w:rFonts w:hint="eastAsia" w:eastAsia="仿宋_GB2312"/>
                <w:color w:val="000000"/>
                <w:kern w:val="0"/>
                <w:szCs w:val="21"/>
                <w:lang w:val="en-US" w:eastAsia="zh-CN"/>
              </w:rPr>
              <w:t>7.4</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eastAsia="仿宋_GB2312"/>
                <w:color w:val="000000"/>
                <w:kern w:val="0"/>
                <w:szCs w:val="21"/>
                <w:lang w:eastAsia="zh-CN"/>
              </w:rPr>
            </w:pPr>
            <w:r>
              <w:rPr>
                <w:rFonts w:hint="eastAsia" w:eastAsia="仿宋_GB2312"/>
                <w:color w:val="000000"/>
                <w:kern w:val="0"/>
                <w:szCs w:val="21"/>
              </w:rPr>
              <w:t>　</w:t>
            </w:r>
            <w:r>
              <w:rPr>
                <w:rFonts w:hint="eastAsia" w:ascii="仿宋" w:hAnsi="仿宋" w:eastAsia="仿宋" w:cs="仿宋"/>
                <w:i w:val="0"/>
                <w:iCs w:val="0"/>
                <w:caps w:val="0"/>
                <w:color w:val="000000"/>
                <w:spacing w:val="0"/>
                <w:sz w:val="21"/>
                <w:szCs w:val="21"/>
                <w:shd w:val="clear" w:fill="FFFFFF"/>
                <w:lang w:eastAsia="zh-CN"/>
              </w:rPr>
              <w:t>本年疫情防控租车增加</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质量指标</w:t>
            </w: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政府采购执行率</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38"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固定资产利用率</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eastAsia="仿宋_GB2312"/>
                <w:color w:val="000000"/>
                <w:kern w:val="0"/>
                <w:szCs w:val="21"/>
                <w:lang w:eastAsia="zh-CN"/>
              </w:rPr>
            </w:pPr>
            <w:r>
              <w:rPr>
                <w:rFonts w:hint="eastAsia" w:eastAsia="仿宋_GB2312"/>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时效指标</w:t>
            </w: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三公经费预算完成率</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rPr>
            </w:pPr>
            <w:r>
              <w:rPr>
                <w:rFonts w:hint="eastAsia" w:ascii="仿宋" w:hAnsi="仿宋" w:eastAsia="仿宋" w:cs="仿宋"/>
                <w:i w:val="0"/>
                <w:iCs w:val="0"/>
                <w:caps w:val="0"/>
                <w:color w:val="000000"/>
                <w:spacing w:val="0"/>
                <w:sz w:val="21"/>
                <w:szCs w:val="21"/>
                <w:shd w:val="clear" w:fill="FFFFFF"/>
                <w:lang w:val="en-US" w:eastAsia="zh-CN"/>
              </w:rPr>
              <w:t>86.89%</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lang w:val="en-US" w:eastAsia="zh-CN"/>
              </w:rPr>
              <w:t>9</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r>
              <w:rPr>
                <w:rFonts w:ascii="仿宋" w:hAnsi="仿宋" w:eastAsia="仿宋" w:cs="仿宋"/>
                <w:i w:val="0"/>
                <w:iCs w:val="0"/>
                <w:caps w:val="0"/>
                <w:color w:val="000000"/>
                <w:spacing w:val="0"/>
                <w:sz w:val="21"/>
                <w:szCs w:val="21"/>
                <w:shd w:val="clear" w:fill="FFFFFF"/>
              </w:rPr>
              <w:t>厉行节约，压缩开支</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257"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成本指标</w:t>
            </w: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全年基本支出不超过预算数</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lang w:val="en-US" w:eastAsia="zh-CN"/>
              </w:rPr>
              <w:t>15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rPr>
            </w:pPr>
            <w:r>
              <w:rPr>
                <w:rFonts w:hint="eastAsia" w:eastAsia="仿宋_GB2312"/>
                <w:color w:val="000000"/>
                <w:kern w:val="0"/>
                <w:szCs w:val="21"/>
                <w:lang w:val="en-US" w:eastAsia="zh-CN"/>
              </w:rPr>
              <w:t>15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restart"/>
            <w:tcBorders>
              <w:top w:val="single" w:color="auto" w:sz="4" w:space="0"/>
              <w:left w:val="nil"/>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效益</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left"/>
              <w:rPr>
                <w:rFonts w:eastAsia="仿宋_GB2312"/>
                <w:color w:val="000000"/>
                <w:kern w:val="0"/>
                <w:szCs w:val="21"/>
              </w:rPr>
            </w:pPr>
          </w:p>
          <w:p>
            <w:pPr>
              <w:widowControl/>
              <w:spacing w:line="320" w:lineRule="exact"/>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w:t>
            </w:r>
          </w:p>
          <w:p>
            <w:pPr>
              <w:spacing w:line="320" w:lineRule="exact"/>
              <w:jc w:val="left"/>
              <w:rPr>
                <w:rFonts w:eastAsia="仿宋_GB2312"/>
                <w:color w:val="000000"/>
                <w:kern w:val="0"/>
                <w:szCs w:val="21"/>
              </w:rPr>
            </w:pPr>
            <w:r>
              <w:rPr>
                <w:rFonts w:hint="eastAsia"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经济效</w:t>
            </w:r>
          </w:p>
          <w:p>
            <w:pPr>
              <w:widowControl/>
              <w:spacing w:line="320" w:lineRule="exact"/>
              <w:jc w:val="center"/>
              <w:rPr>
                <w:rFonts w:eastAsia="仿宋_GB2312"/>
                <w:color w:val="000000"/>
                <w:kern w:val="0"/>
                <w:szCs w:val="21"/>
              </w:rPr>
            </w:pPr>
            <w:r>
              <w:rPr>
                <w:rFonts w:hint="eastAsia" w:eastAsia="仿宋_GB2312"/>
                <w:color w:val="000000"/>
                <w:kern w:val="0"/>
                <w:szCs w:val="21"/>
              </w:rPr>
              <w:t>益指标</w:t>
            </w: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加快发展农村经济，提高就业率，切实增加群众收入</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社会效</w:t>
            </w:r>
          </w:p>
          <w:p>
            <w:pPr>
              <w:widowControl/>
              <w:spacing w:line="320" w:lineRule="exact"/>
              <w:jc w:val="center"/>
              <w:rPr>
                <w:rFonts w:eastAsia="仿宋_GB2312"/>
                <w:color w:val="000000"/>
                <w:kern w:val="0"/>
                <w:szCs w:val="21"/>
              </w:rPr>
            </w:pPr>
            <w:r>
              <w:rPr>
                <w:rFonts w:hint="eastAsia" w:eastAsia="仿宋_GB2312"/>
                <w:color w:val="000000"/>
                <w:kern w:val="0"/>
                <w:szCs w:val="21"/>
              </w:rPr>
              <w:t>益指标</w:t>
            </w: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保障基层社会民生，方便群众</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ascii="仿宋" w:hAnsi="仿宋" w:eastAsia="仿宋" w:cs="仿宋"/>
                <w:i w:val="0"/>
                <w:iCs w:val="0"/>
                <w:caps w:val="0"/>
                <w:color w:val="000000"/>
                <w:spacing w:val="0"/>
                <w:sz w:val="21"/>
                <w:szCs w:val="21"/>
                <w:shd w:val="clear" w:fill="FFFFFF"/>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生态效</w:t>
            </w:r>
          </w:p>
          <w:p>
            <w:pPr>
              <w:widowControl/>
              <w:spacing w:line="320" w:lineRule="exact"/>
              <w:jc w:val="center"/>
              <w:rPr>
                <w:rFonts w:eastAsia="仿宋_GB2312"/>
                <w:color w:val="000000"/>
                <w:kern w:val="0"/>
                <w:szCs w:val="21"/>
              </w:rPr>
            </w:pPr>
            <w:r>
              <w:rPr>
                <w:rFonts w:hint="eastAsia" w:eastAsia="仿宋_GB2312"/>
                <w:color w:val="000000"/>
                <w:kern w:val="0"/>
                <w:szCs w:val="21"/>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完善乡镇环保基础设施建设，提升农村人居环境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ascii="仿宋" w:hAnsi="仿宋" w:eastAsia="仿宋" w:cs="仿宋"/>
                <w:i w:val="0"/>
                <w:iCs w:val="0"/>
                <w:caps w:val="0"/>
                <w:color w:val="000000"/>
                <w:spacing w:val="0"/>
                <w:sz w:val="21"/>
                <w:szCs w:val="21"/>
                <w:shd w:val="clear" w:fill="FFFFFF"/>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992" w:type="dxa"/>
            <w:vMerge w:val="continue"/>
            <w:tcBorders>
              <w:left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疫情防控完成度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ascii="仿宋" w:hAnsi="仿宋" w:eastAsia="仿宋" w:cs="仿宋"/>
                <w:i w:val="0"/>
                <w:iCs w:val="0"/>
                <w:caps w:val="0"/>
                <w:color w:val="000000"/>
                <w:spacing w:val="0"/>
                <w:sz w:val="21"/>
                <w:szCs w:val="21"/>
                <w:shd w:val="clear" w:fill="FFFFFF"/>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ascii="仿宋" w:hAnsi="仿宋" w:eastAsia="仿宋" w:cs="仿宋"/>
                <w:i w:val="0"/>
                <w:iCs w:val="0"/>
                <w:caps w:val="0"/>
                <w:color w:val="000000"/>
                <w:spacing w:val="0"/>
                <w:sz w:val="21"/>
                <w:szCs w:val="21"/>
                <w:shd w:val="clear" w:fill="FFFFFF"/>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1224"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eastAsia="仿宋_GB2312"/>
                <w:color w:val="000000"/>
                <w:kern w:val="0"/>
                <w:szCs w:val="21"/>
              </w:rPr>
            </w:pPr>
          </w:p>
        </w:tc>
        <w:tc>
          <w:tcPr>
            <w:tcW w:w="992" w:type="dxa"/>
            <w:vMerge w:val="restart"/>
            <w:tcBorders>
              <w:top w:val="nil"/>
              <w:left w:val="nil"/>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满意度</w:t>
            </w:r>
          </w:p>
          <w:p>
            <w:pPr>
              <w:widowControl/>
              <w:spacing w:line="320" w:lineRule="exact"/>
              <w:jc w:val="center"/>
              <w:rPr>
                <w:rFonts w:eastAsia="仿宋_GB2312"/>
                <w:color w:val="000000"/>
                <w:kern w:val="0"/>
                <w:szCs w:val="21"/>
              </w:rPr>
            </w:pPr>
            <w:r>
              <w:rPr>
                <w:rFonts w:hint="eastAsia" w:eastAsia="仿宋_GB2312"/>
                <w:color w:val="000000"/>
                <w:kern w:val="0"/>
                <w:szCs w:val="21"/>
              </w:rPr>
              <w:t>指标</w:t>
            </w:r>
          </w:p>
          <w:p>
            <w:pPr>
              <w:widowControl/>
              <w:spacing w:line="32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1261" w:type="dxa"/>
            <w:vMerge w:val="restart"/>
            <w:tcBorders>
              <w:top w:val="nil"/>
              <w:left w:val="nil"/>
              <w:right w:val="single" w:color="auto"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224"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ascii="仿宋" w:hAnsi="仿宋" w:eastAsia="仿宋" w:cs="仿宋"/>
                <w:i w:val="0"/>
                <w:iCs w:val="0"/>
                <w:caps w:val="0"/>
                <w:color w:val="000000"/>
                <w:spacing w:val="0"/>
                <w:sz w:val="21"/>
                <w:szCs w:val="21"/>
                <w:shd w:val="clear" w:fill="FFFFFF"/>
              </w:rPr>
              <w:t>人民群众对乡政府的满意度</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ascii="仿宋" w:hAnsi="仿宋" w:eastAsia="仿宋" w:cs="仿宋"/>
                <w:i w:val="0"/>
                <w:iCs w:val="0"/>
                <w:caps w:val="0"/>
                <w:color w:val="000000"/>
                <w:spacing w:val="0"/>
                <w:sz w:val="21"/>
                <w:szCs w:val="21"/>
                <w:shd w:val="clear" w:fill="FFFFFF"/>
              </w:rPr>
              <w:t>100%</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ascii="仿宋" w:hAnsi="仿宋" w:eastAsia="仿宋" w:cs="仿宋"/>
                <w:i w:val="0"/>
                <w:iCs w:val="0"/>
                <w:caps w:val="0"/>
                <w:color w:val="000000"/>
                <w:spacing w:val="0"/>
                <w:sz w:val="21"/>
                <w:szCs w:val="21"/>
                <w:shd w:val="clear" w:fill="FFFFFF"/>
              </w:rPr>
              <w:t>100%</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1261" w:type="dxa"/>
            <w:vMerge w:val="continue"/>
            <w:tcBorders>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p>
        </w:tc>
        <w:tc>
          <w:tcPr>
            <w:tcW w:w="122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eastAsia="仿宋_GB2312"/>
                <w:color w:val="000000"/>
                <w:kern w:val="0"/>
                <w:szCs w:val="21"/>
              </w:rPr>
              <w:t>……</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37" w:hRule="atLeast"/>
          <w:jc w:val="center"/>
        </w:trPr>
        <w:tc>
          <w:tcPr>
            <w:tcW w:w="6880" w:type="dxa"/>
            <w:gridSpan w:val="6"/>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eastAsia="仿宋_GB2312"/>
                <w:color w:val="000000"/>
                <w:kern w:val="0"/>
                <w:szCs w:val="21"/>
              </w:rPr>
            </w:pPr>
            <w:r>
              <w:rPr>
                <w:rFonts w:hint="eastAsia" w:eastAsia="仿宋_GB2312"/>
                <w:color w:val="000000"/>
                <w:kern w:val="0"/>
                <w:szCs w:val="21"/>
              </w:rPr>
              <w:t>总分</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eastAsia="仿宋_GB2312"/>
                <w:color w:val="000000"/>
                <w:kern w:val="0"/>
                <w:szCs w:val="21"/>
              </w:rPr>
            </w:pPr>
            <w:r>
              <w:rPr>
                <w:rFonts w:eastAsia="仿宋_GB2312"/>
                <w:color w:val="000000"/>
                <w:kern w:val="0"/>
                <w:szCs w:val="21"/>
              </w:rPr>
              <w:t>100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98.9</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eastAsia="仿宋_GB2312"/>
                <w:color w:val="000000"/>
                <w:kern w:val="0"/>
                <w:szCs w:val="21"/>
              </w:rPr>
            </w:pPr>
            <w:r>
              <w:rPr>
                <w:rFonts w:hint="eastAsia" w:eastAsia="仿宋_GB2312"/>
                <w:color w:val="000000"/>
                <w:kern w:val="0"/>
                <w:szCs w:val="21"/>
              </w:rPr>
              <w:t>　</w:t>
            </w:r>
          </w:p>
        </w:tc>
      </w:tr>
    </w:tbl>
    <w:p>
      <w:pPr>
        <w:spacing w:beforeLines="50" w:line="320" w:lineRule="exact"/>
        <w:rPr>
          <w:rFonts w:eastAsia="仿宋_GB2312"/>
          <w:sz w:val="24"/>
        </w:rPr>
      </w:pPr>
      <w:r>
        <w:rPr>
          <w:rFonts w:hint="eastAsia" w:eastAsia="仿宋_GB2312"/>
          <w:sz w:val="24"/>
        </w:rPr>
        <w:t>填表人：</w:t>
      </w:r>
      <w:r>
        <w:rPr>
          <w:rFonts w:eastAsia="仿宋_GB2312"/>
          <w:sz w:val="24"/>
        </w:rPr>
        <w:t xml:space="preserve">         </w:t>
      </w:r>
      <w:r>
        <w:rPr>
          <w:rFonts w:hint="eastAsia" w:eastAsia="仿宋_GB2312"/>
          <w:sz w:val="24"/>
        </w:rPr>
        <w:t>填报日期：</w:t>
      </w:r>
      <w:r>
        <w:rPr>
          <w:rFonts w:eastAsia="仿宋_GB2312"/>
          <w:sz w:val="24"/>
        </w:rPr>
        <w:t xml:space="preserve">           </w:t>
      </w:r>
      <w:r>
        <w:rPr>
          <w:rFonts w:hint="eastAsia" w:eastAsia="仿宋_GB2312"/>
          <w:sz w:val="24"/>
        </w:rPr>
        <w:t>联系电话：</w:t>
      </w:r>
      <w:r>
        <w:rPr>
          <w:rFonts w:eastAsia="仿宋_GB2312"/>
          <w:sz w:val="24"/>
        </w:rPr>
        <w:t xml:space="preserve">       </w:t>
      </w:r>
      <w:r>
        <w:rPr>
          <w:rFonts w:hint="eastAsia" w:eastAsia="仿宋_GB2312"/>
          <w:sz w:val="24"/>
        </w:rPr>
        <w:t>单位负责人签字：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930A0"/>
    <w:multiLevelType w:val="multilevel"/>
    <w:tmpl w:val="23F930A0"/>
    <w:lvl w:ilvl="0" w:tentative="0">
      <w:start w:val="1"/>
      <w:numFmt w:val="decimalEnclosedCircle"/>
      <w:lvlText w:val="%1"/>
      <w:lvlJc w:val="left"/>
      <w:pPr>
        <w:ind w:left="465" w:hanging="360"/>
      </w:pPr>
      <w:rPr>
        <w:rFonts w:hint="default" w:hAnsi="宋体" w:cs="宋体"/>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abstractNum w:abstractNumId="1">
    <w:nsid w:val="454D5428"/>
    <w:multiLevelType w:val="multilevel"/>
    <w:tmpl w:val="454D5428"/>
    <w:lvl w:ilvl="0" w:tentative="0">
      <w:start w:val="1"/>
      <w:numFmt w:val="decimalEnclosedCircle"/>
      <w:lvlText w:val="%1"/>
      <w:lvlJc w:val="left"/>
      <w:pPr>
        <w:ind w:left="465" w:hanging="360"/>
      </w:pPr>
      <w:rPr>
        <w:rFonts w:hint="default" w:hAnsi="宋体" w:cs="宋体"/>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abstractNum w:abstractNumId="2">
    <w:nsid w:val="5B4A74CD"/>
    <w:multiLevelType w:val="multilevel"/>
    <w:tmpl w:val="5B4A74CD"/>
    <w:lvl w:ilvl="0" w:tentative="0">
      <w:start w:val="1"/>
      <w:numFmt w:val="decimalEnclosedCircle"/>
      <w:lvlText w:val="%1"/>
      <w:lvlJc w:val="left"/>
      <w:pPr>
        <w:ind w:left="465" w:hanging="360"/>
      </w:pPr>
      <w:rPr>
        <w:rFonts w:hint="default" w:hAnsi="宋体" w:cs="宋体"/>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abstractNum w:abstractNumId="3">
    <w:nsid w:val="775728FA"/>
    <w:multiLevelType w:val="multilevel"/>
    <w:tmpl w:val="775728FA"/>
    <w:lvl w:ilvl="0" w:tentative="0">
      <w:start w:val="1"/>
      <w:numFmt w:val="decimalEnclosedCircle"/>
      <w:lvlText w:val="%1"/>
      <w:lvlJc w:val="left"/>
      <w:pPr>
        <w:ind w:left="465" w:hanging="360"/>
      </w:pPr>
      <w:rPr>
        <w:rFonts w:hint="default" w:hAnsi="宋体" w:cs="宋体"/>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13C77"/>
    <w:rsid w:val="11165FC7"/>
    <w:rsid w:val="1FD888AF"/>
    <w:rsid w:val="2FAD44ED"/>
    <w:rsid w:val="35FF65FC"/>
    <w:rsid w:val="47B408E7"/>
    <w:rsid w:val="5EAE3E56"/>
    <w:rsid w:val="618D2633"/>
    <w:rsid w:val="714E625C"/>
    <w:rsid w:val="74F943FA"/>
    <w:rsid w:val="78CC7BF8"/>
    <w:rsid w:val="79F13C77"/>
    <w:rsid w:val="7F69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2021-09-03T13:49:00Z</dcterms:created>
  <dc:creator>Administrator</dc:creator>
  <cp:lastModifiedBy>kylin</cp:lastModifiedBy>
  <cp:lastPrinted>2021-09-06T10:34:00Z</cp:lastPrinted>
  <dcterms:modified xsi:type="dcterms:W3CDTF">2025-11-24T10:27:02Z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E18C2D2DF8E145698EF0E0EB5444A1CF</vt:lpwstr>
  </property>
</Properties>
</file>