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61CB7">
      <w:pPr>
        <w:adjustRightInd w:val="0"/>
        <w:snapToGrid w:val="0"/>
        <w:spacing w:line="560" w:lineRule="atLeast"/>
        <w:jc w:val="center"/>
        <w:rPr>
          <w:rFonts w:hint="eastAsia" w:ascii="仿宋" w:hAnsi="仿宋" w:eastAsia="仿宋"/>
          <w:b/>
          <w:kern w:val="0"/>
          <w:sz w:val="44"/>
          <w:szCs w:val="44"/>
        </w:rPr>
      </w:pPr>
    </w:p>
    <w:p w14:paraId="2545CE0C">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黑体" w:cs="Times New Roman"/>
          <w:sz w:val="32"/>
          <w:szCs w:val="32"/>
          <w:lang w:eastAsia="zh-CN"/>
        </w:rPr>
      </w:pPr>
      <w:r>
        <w:rPr>
          <w:rFonts w:hint="eastAsia" w:eastAsia="仿宋_GB2312"/>
          <w:b/>
          <w:spacing w:val="-2"/>
          <w:sz w:val="32"/>
          <w:szCs w:val="44"/>
        </w:rPr>
        <w:t xml:space="preserve">  </w:t>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14:paraId="0402FC8D">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黑体" w:cs="Times New Roman"/>
          <w:sz w:val="32"/>
          <w:szCs w:val="32"/>
        </w:rPr>
      </w:pPr>
    </w:p>
    <w:p w14:paraId="34A227AE">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黑体" w:cs="Times New Roman"/>
          <w:sz w:val="32"/>
          <w:szCs w:val="32"/>
        </w:rPr>
      </w:pPr>
    </w:p>
    <w:p w14:paraId="243BEF09">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黑体" w:cs="Times New Roman"/>
          <w:sz w:val="32"/>
          <w:szCs w:val="32"/>
        </w:rPr>
      </w:pPr>
    </w:p>
    <w:p w14:paraId="5CA3EF19">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黑体" w:cs="Times New Roman"/>
          <w:sz w:val="32"/>
          <w:szCs w:val="32"/>
        </w:rPr>
      </w:pPr>
    </w:p>
    <w:p w14:paraId="203095B5">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w:t>
      </w:r>
      <w:r>
        <w:rPr>
          <w:rFonts w:hint="eastAsia" w:ascii="Times New Roman" w:hAnsi="Times New Roman" w:eastAsia="方正小标宋_GBK" w:cs="Times New Roman"/>
          <w:sz w:val="52"/>
          <w:szCs w:val="52"/>
          <w:lang w:val="en-US" w:eastAsia="zh-CN"/>
        </w:rPr>
        <w:t>22</w:t>
      </w:r>
      <w:r>
        <w:rPr>
          <w:rFonts w:ascii="Times New Roman" w:hAnsi="Times New Roman" w:eastAsia="方正小标宋_GBK" w:cs="Times New Roman"/>
          <w:sz w:val="52"/>
          <w:szCs w:val="52"/>
        </w:rPr>
        <w:t>年度</w:t>
      </w:r>
      <w:r>
        <w:rPr>
          <w:rFonts w:hint="eastAsia" w:ascii="Times New Roman" w:hAnsi="Times New Roman" w:eastAsia="方正小标宋_GBK" w:cs="Times New Roman"/>
          <w:sz w:val="52"/>
          <w:szCs w:val="52"/>
          <w:lang w:eastAsia="zh-CN"/>
        </w:rPr>
        <w:t>辰溪县文化馆</w:t>
      </w:r>
      <w:r>
        <w:rPr>
          <w:rFonts w:ascii="Times New Roman" w:hAnsi="Times New Roman" w:eastAsia="方正小标宋_GBK" w:cs="Times New Roman"/>
          <w:sz w:val="52"/>
          <w:szCs w:val="52"/>
        </w:rPr>
        <w:t>整体</w:t>
      </w:r>
    </w:p>
    <w:p w14:paraId="446AC45A">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方正小标宋_GBK" w:cs="Times New Roman"/>
          <w:sz w:val="52"/>
          <w:szCs w:val="52"/>
        </w:rPr>
      </w:pPr>
    </w:p>
    <w:p w14:paraId="4CCA69AC">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支出绩效自评报告</w:t>
      </w:r>
    </w:p>
    <w:p w14:paraId="364CE841">
      <w:pPr>
        <w:keepNext w:val="0"/>
        <w:keepLines w:val="0"/>
        <w:pageBreakBefore w:val="0"/>
        <w:kinsoku/>
        <w:wordWrap/>
        <w:overflowPunct/>
        <w:topLinePunct w:val="0"/>
        <w:autoSpaceDE/>
        <w:autoSpaceDN/>
        <w:bidi w:val="0"/>
        <w:adjustRightInd/>
        <w:snapToGrid/>
        <w:spacing w:line="560" w:lineRule="exact"/>
        <w:jc w:val="both"/>
        <w:rPr>
          <w:rFonts w:ascii="Times New Roman" w:hAnsi="Times New Roman" w:eastAsia="楷体_GB2312" w:cs="Times New Roman"/>
          <w:b/>
          <w:sz w:val="32"/>
          <w:szCs w:val="32"/>
        </w:rPr>
      </w:pPr>
    </w:p>
    <w:p w14:paraId="358A9DD3">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5A6CFC40">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298E3B3C">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4FBE1311">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063B4A47">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2B806CB2">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7D2B9858">
      <w:pPr>
        <w:keepNext w:val="0"/>
        <w:keepLines w:val="0"/>
        <w:pageBreakBefore w:val="0"/>
        <w:kinsoku/>
        <w:wordWrap/>
        <w:overflowPunct/>
        <w:topLinePunct w:val="0"/>
        <w:autoSpaceDE/>
        <w:autoSpaceDN/>
        <w:bidi w:val="0"/>
        <w:adjustRightInd/>
        <w:snapToGrid/>
        <w:spacing w:line="560" w:lineRule="exact"/>
        <w:jc w:val="both"/>
        <w:rPr>
          <w:rFonts w:ascii="Times New Roman" w:hAnsi="Times New Roman" w:eastAsia="黑体" w:cs="Times New Roman"/>
          <w:sz w:val="32"/>
          <w:szCs w:val="32"/>
        </w:rPr>
      </w:pPr>
    </w:p>
    <w:p w14:paraId="3F6B73F2">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236A9FAC">
      <w:pPr>
        <w:keepNext w:val="0"/>
        <w:keepLines w:val="0"/>
        <w:pageBreakBefore w:val="0"/>
        <w:kinsoku/>
        <w:wordWrap/>
        <w:overflowPunct/>
        <w:topLinePunct w:val="0"/>
        <w:autoSpaceDE/>
        <w:autoSpaceDN/>
        <w:bidi w:val="0"/>
        <w:adjustRightInd/>
        <w:snapToGrid/>
        <w:spacing w:line="560" w:lineRule="exact"/>
        <w:ind w:firstLine="1920" w:firstLineChars="6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 xml:space="preserve">（盖章）        </w:t>
      </w:r>
    </w:p>
    <w:p w14:paraId="74A94A66">
      <w:pPr>
        <w:keepNext w:val="0"/>
        <w:keepLines w:val="0"/>
        <w:pageBreakBefore w:val="0"/>
        <w:kinsoku/>
        <w:wordWrap/>
        <w:overflowPunct/>
        <w:topLinePunct w:val="0"/>
        <w:autoSpaceDE/>
        <w:autoSpaceDN/>
        <w:bidi w:val="0"/>
        <w:adjustRightInd/>
        <w:snapToGrid/>
        <w:spacing w:line="560" w:lineRule="exact"/>
        <w:ind w:firstLine="2880" w:firstLineChars="9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3</w:t>
      </w:r>
      <w:r>
        <w:rPr>
          <w:rFonts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20</w:t>
      </w:r>
      <w:r>
        <w:rPr>
          <w:rFonts w:ascii="Times New Roman" w:hAnsi="Times New Roman" w:eastAsia="楷体_GB2312" w:cs="Times New Roman"/>
          <w:sz w:val="32"/>
          <w:szCs w:val="32"/>
        </w:rPr>
        <w:t>日</w:t>
      </w:r>
    </w:p>
    <w:p w14:paraId="53CE66A4">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黑体" w:cs="Times New Roman"/>
          <w:sz w:val="32"/>
          <w:szCs w:val="32"/>
        </w:rPr>
      </w:pPr>
    </w:p>
    <w:p w14:paraId="138FB8E7">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hAnsi="仿宋" w:eastAsia="仿宋"/>
          <w:b/>
          <w:kern w:val="0"/>
          <w:sz w:val="44"/>
          <w:szCs w:val="44"/>
        </w:rPr>
      </w:pPr>
    </w:p>
    <w:p w14:paraId="0D34AE63">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hAnsi="仿宋" w:eastAsia="仿宋"/>
          <w:b/>
          <w:kern w:val="0"/>
          <w:sz w:val="44"/>
          <w:szCs w:val="44"/>
        </w:rPr>
      </w:pPr>
    </w:p>
    <w:p w14:paraId="13DF6CB6">
      <w:pPr>
        <w:adjustRightInd w:val="0"/>
        <w:snapToGrid w:val="0"/>
        <w:spacing w:line="560" w:lineRule="atLeast"/>
        <w:jc w:val="center"/>
        <w:rPr>
          <w:rFonts w:hint="eastAsia" w:ascii="仿宋" w:hAnsi="仿宋" w:eastAsia="仿宋"/>
          <w:b/>
          <w:kern w:val="0"/>
          <w:sz w:val="44"/>
          <w:szCs w:val="44"/>
        </w:rPr>
      </w:pPr>
    </w:p>
    <w:p w14:paraId="67D55AB4">
      <w:pPr>
        <w:adjustRightInd w:val="0"/>
        <w:snapToGrid w:val="0"/>
        <w:spacing w:line="560" w:lineRule="atLeast"/>
        <w:jc w:val="center"/>
        <w:rPr>
          <w:rFonts w:hint="eastAsia" w:ascii="仿宋" w:hAnsi="仿宋" w:eastAsia="仿宋"/>
          <w:b/>
          <w:kern w:val="0"/>
          <w:sz w:val="44"/>
          <w:szCs w:val="44"/>
        </w:rPr>
      </w:pPr>
    </w:p>
    <w:p w14:paraId="0E3FE788">
      <w:pPr>
        <w:adjustRightInd w:val="0"/>
        <w:snapToGrid w:val="0"/>
        <w:spacing w:line="560" w:lineRule="atLeast"/>
        <w:jc w:val="center"/>
        <w:rPr>
          <w:rFonts w:ascii="仿宋" w:hAnsi="仿宋" w:eastAsia="仿宋"/>
          <w:b/>
          <w:kern w:val="0"/>
          <w:sz w:val="44"/>
          <w:szCs w:val="44"/>
        </w:rPr>
      </w:pPr>
      <w:r>
        <w:rPr>
          <w:rFonts w:hint="eastAsia" w:ascii="仿宋" w:hAnsi="仿宋" w:eastAsia="仿宋"/>
          <w:b/>
          <w:kern w:val="0"/>
          <w:sz w:val="44"/>
          <w:szCs w:val="44"/>
        </w:rPr>
        <w:t>辰溪县文化馆2022年度</w:t>
      </w:r>
    </w:p>
    <w:p w14:paraId="19B627F4">
      <w:pPr>
        <w:adjustRightInd w:val="0"/>
        <w:snapToGrid w:val="0"/>
        <w:spacing w:line="560" w:lineRule="atLeast"/>
        <w:jc w:val="center"/>
        <w:rPr>
          <w:rFonts w:hint="eastAsia" w:ascii="仿宋" w:hAnsi="仿宋" w:eastAsia="仿宋"/>
          <w:b/>
          <w:kern w:val="0"/>
          <w:sz w:val="44"/>
          <w:szCs w:val="44"/>
        </w:rPr>
      </w:pPr>
      <w:r>
        <w:rPr>
          <w:rFonts w:hint="eastAsia" w:ascii="仿宋" w:hAnsi="仿宋" w:eastAsia="仿宋"/>
          <w:b/>
          <w:kern w:val="0"/>
          <w:sz w:val="44"/>
          <w:szCs w:val="44"/>
        </w:rPr>
        <w:t>部门整体支出绩效评价报告</w:t>
      </w:r>
    </w:p>
    <w:p w14:paraId="44B864AF">
      <w:pPr>
        <w:adjustRightInd w:val="0"/>
        <w:snapToGrid w:val="0"/>
        <w:spacing w:line="540" w:lineRule="atLeast"/>
        <w:ind w:firstLine="643" w:firstLineChars="200"/>
        <w:rPr>
          <w:rFonts w:hint="eastAsia" w:ascii="仿宋" w:hAnsi="仿宋" w:eastAsia="仿宋"/>
          <w:b/>
          <w:sz w:val="32"/>
          <w:szCs w:val="32"/>
        </w:rPr>
      </w:pPr>
      <w:r>
        <w:rPr>
          <w:rFonts w:hint="eastAsia" w:ascii="仿宋" w:hAnsi="仿宋" w:eastAsia="仿宋"/>
          <w:b/>
          <w:sz w:val="32"/>
          <w:szCs w:val="32"/>
        </w:rPr>
        <w:t>一、部门基本情况</w:t>
      </w:r>
    </w:p>
    <w:p w14:paraId="7BD9A1BB">
      <w:pPr>
        <w:adjustRightInd w:val="0"/>
        <w:snapToGrid w:val="0"/>
        <w:spacing w:line="540" w:lineRule="atLeas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（一）部门职能与机构设置</w:t>
      </w:r>
    </w:p>
    <w:p w14:paraId="49D77CB7">
      <w:pPr>
        <w:adjustRightInd w:val="0"/>
        <w:snapToGrid w:val="0"/>
        <w:spacing w:line="540" w:lineRule="atLeast"/>
        <w:ind w:firstLine="640" w:firstLineChars="200"/>
        <w:rPr>
          <w:rFonts w:hint="eastAsia" w:ascii="仿宋" w:hAnsi="仿宋" w:eastAsia="仿宋"/>
          <w:kern w:val="0"/>
          <w:sz w:val="32"/>
          <w:szCs w:val="32"/>
        </w:rPr>
      </w:pPr>
      <w:r>
        <w:rPr>
          <w:rFonts w:hint="eastAsia" w:ascii="仿宋" w:hAnsi="仿宋" w:eastAsia="仿宋"/>
          <w:kern w:val="0"/>
          <w:sz w:val="32"/>
          <w:szCs w:val="32"/>
        </w:rPr>
        <w:t>（1）、部门职能</w:t>
      </w:r>
    </w:p>
    <w:p w14:paraId="6833E214">
      <w:pPr>
        <w:widowControl/>
        <w:spacing w:line="500" w:lineRule="exact"/>
        <w:ind w:firstLine="640" w:firstLineChars="200"/>
        <w:rPr>
          <w:rFonts w:hint="eastAsia" w:ascii="仿宋" w:hAnsi="仿宋" w:eastAsia="仿宋"/>
          <w:bCs/>
          <w:kern w:val="0"/>
          <w:sz w:val="32"/>
          <w:szCs w:val="32"/>
        </w:rPr>
      </w:pPr>
      <w:r>
        <w:rPr>
          <w:rFonts w:hint="eastAsia" w:ascii="仿宋" w:hAnsi="仿宋" w:eastAsia="仿宋"/>
          <w:kern w:val="0"/>
          <w:sz w:val="32"/>
          <w:szCs w:val="32"/>
        </w:rPr>
        <w:t>主要职责是负责举办普及性文化艺术类培训，举办公益性讲座、展览，开展各类宣传活动，组织公益性群众文化活动，组织文艺创作与业务辅导，负责民间民族文化收集整理保护工作。</w:t>
      </w:r>
    </w:p>
    <w:p w14:paraId="37DEAA17">
      <w:pPr>
        <w:adjustRightInd w:val="0"/>
        <w:snapToGrid w:val="0"/>
        <w:spacing w:line="540" w:lineRule="atLeast"/>
        <w:ind w:firstLine="640" w:firstLineChars="200"/>
        <w:rPr>
          <w:rFonts w:hint="eastAsia" w:ascii="仿宋" w:hAnsi="仿宋" w:eastAsia="仿宋"/>
          <w:kern w:val="0"/>
          <w:sz w:val="32"/>
          <w:szCs w:val="32"/>
        </w:rPr>
      </w:pPr>
      <w:r>
        <w:rPr>
          <w:rFonts w:hint="eastAsia" w:ascii="仿宋" w:hAnsi="仿宋" w:eastAsia="仿宋"/>
          <w:kern w:val="0"/>
          <w:sz w:val="32"/>
          <w:szCs w:val="32"/>
        </w:rPr>
        <w:t>（2）、机构设置</w:t>
      </w:r>
    </w:p>
    <w:p w14:paraId="370BC01E">
      <w:pPr>
        <w:pStyle w:val="2"/>
        <w:ind w:firstLine="640"/>
        <w:rPr>
          <w:rFonts w:hint="eastAsia" w:ascii="仿宋" w:hAnsi="仿宋" w:eastAsia="仿宋"/>
          <w:sz w:val="32"/>
          <w:szCs w:val="32"/>
        </w:rPr>
      </w:pPr>
      <w:r>
        <w:rPr>
          <w:rFonts w:hint="eastAsia" w:ascii="仿宋" w:hAnsi="仿宋" w:eastAsia="仿宋"/>
          <w:sz w:val="32"/>
          <w:szCs w:val="32"/>
        </w:rPr>
        <w:t>单位内设科室：办公室、人事财务股、业务管理股。</w:t>
      </w:r>
    </w:p>
    <w:p w14:paraId="13FB55B9">
      <w:pPr>
        <w:numPr>
          <w:ilvl w:val="0"/>
          <w:numId w:val="1"/>
        </w:numPr>
        <w:adjustRightInd w:val="0"/>
        <w:snapToGrid w:val="0"/>
        <w:spacing w:line="540" w:lineRule="atLeast"/>
        <w:ind w:firstLine="643" w:firstLineChars="200"/>
        <w:rPr>
          <w:rFonts w:hint="eastAsia" w:ascii="仿宋" w:hAnsi="仿宋" w:eastAsia="仿宋"/>
          <w:b/>
          <w:bCs/>
          <w:kern w:val="0"/>
          <w:sz w:val="32"/>
          <w:szCs w:val="32"/>
        </w:rPr>
      </w:pPr>
      <w:r>
        <w:rPr>
          <w:rFonts w:hint="eastAsia" w:ascii="仿宋" w:hAnsi="仿宋" w:eastAsia="仿宋"/>
          <w:b/>
          <w:bCs/>
          <w:sz w:val="32"/>
          <w:szCs w:val="32"/>
        </w:rPr>
        <w:t xml:space="preserve"> </w:t>
      </w:r>
      <w:r>
        <w:rPr>
          <w:rFonts w:hint="eastAsia" w:ascii="仿宋" w:hAnsi="仿宋" w:eastAsia="仿宋"/>
          <w:b/>
          <w:bCs/>
          <w:kern w:val="0"/>
          <w:sz w:val="32"/>
          <w:szCs w:val="32"/>
        </w:rPr>
        <w:t>人员情况</w:t>
      </w:r>
    </w:p>
    <w:p w14:paraId="7CE93F30">
      <w:pPr>
        <w:adjustRightInd w:val="0"/>
        <w:snapToGrid w:val="0"/>
        <w:spacing w:line="540" w:lineRule="atLeast"/>
        <w:rPr>
          <w:rFonts w:hint="eastAsia" w:ascii="仿宋" w:hAnsi="仿宋" w:eastAsia="仿宋"/>
          <w:kern w:val="0"/>
          <w:sz w:val="32"/>
          <w:szCs w:val="32"/>
        </w:rPr>
      </w:pPr>
      <w:r>
        <w:rPr>
          <w:rFonts w:hint="eastAsia" w:ascii="仿宋" w:hAnsi="仿宋" w:eastAsia="仿宋"/>
          <w:kern w:val="0"/>
          <w:sz w:val="32"/>
          <w:szCs w:val="32"/>
        </w:rPr>
        <w:t xml:space="preserve">     截止2022.12.31号，辰溪县文化馆在职10人，退休14人。</w:t>
      </w:r>
    </w:p>
    <w:p w14:paraId="7E64B4B2">
      <w:pPr>
        <w:numPr>
          <w:ilvl w:val="0"/>
          <w:numId w:val="1"/>
        </w:numPr>
        <w:adjustRightInd w:val="0"/>
        <w:snapToGrid w:val="0"/>
        <w:spacing w:line="540" w:lineRule="atLeas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部门年度总体工作任务和重点工作任务</w:t>
      </w:r>
    </w:p>
    <w:p w14:paraId="7D114029">
      <w:pPr>
        <w:ind w:firstLine="640" w:firstLineChars="200"/>
        <w:jc w:val="left"/>
        <w:rPr>
          <w:rFonts w:hint="eastAsia" w:ascii="仿宋" w:hAnsi="仿宋" w:eastAsia="仿宋"/>
          <w:sz w:val="32"/>
          <w:szCs w:val="32"/>
        </w:rPr>
      </w:pPr>
      <w:r>
        <w:rPr>
          <w:rFonts w:hint="eastAsia" w:ascii="仿宋" w:hAnsi="仿宋" w:eastAsia="仿宋"/>
          <w:kern w:val="0"/>
          <w:sz w:val="32"/>
          <w:szCs w:val="32"/>
        </w:rPr>
        <w:t>2022年工作总体任务和重点工作任务：</w:t>
      </w:r>
      <w:r>
        <w:rPr>
          <w:rFonts w:hint="eastAsia" w:ascii="仿宋" w:hAnsi="仿宋" w:eastAsia="仿宋"/>
          <w:sz w:val="32"/>
          <w:szCs w:val="32"/>
        </w:rPr>
        <w:t>1、加强业务学习，强化队伍建设和物业管理工作，确保场馆免费低收费开放工作有序进行。2、积极开展各类文艺活动。深入推进群文活动，充分发挥场馆作用，带动大批文艺爱好者参加活动。3、积极开展各类文艺辅导项目的辅导和培训工作。4、认真做好各种文艺活动场地的保障工作。</w:t>
      </w:r>
    </w:p>
    <w:p w14:paraId="3C3EE810">
      <w:pPr>
        <w:adjustRightInd w:val="0"/>
        <w:snapToGrid w:val="0"/>
        <w:spacing w:line="540" w:lineRule="atLeas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二、部门资金基本情况</w:t>
      </w:r>
    </w:p>
    <w:p w14:paraId="28A8A7C7">
      <w:pPr>
        <w:rPr>
          <w:rFonts w:hint="eastAsia" w:ascii="仿宋" w:hAnsi="仿宋" w:eastAsia="仿宋"/>
          <w:b/>
          <w:color w:val="000000"/>
          <w:sz w:val="32"/>
          <w:szCs w:val="32"/>
        </w:rPr>
      </w:pPr>
      <w:r>
        <w:rPr>
          <w:rFonts w:hint="eastAsia" w:ascii="仿宋" w:hAnsi="仿宋" w:eastAsia="仿宋"/>
          <w:kern w:val="0"/>
          <w:sz w:val="32"/>
          <w:szCs w:val="32"/>
        </w:rPr>
        <w:t xml:space="preserve"> （一）、</w:t>
      </w:r>
      <w:r>
        <w:rPr>
          <w:rFonts w:hint="eastAsia" w:ascii="仿宋" w:hAnsi="仿宋" w:eastAsia="仿宋"/>
          <w:b/>
          <w:color w:val="000000"/>
          <w:sz w:val="32"/>
          <w:szCs w:val="32"/>
        </w:rPr>
        <w:t>年度部门预算安排及支出情况</w:t>
      </w:r>
    </w:p>
    <w:p w14:paraId="00700B28">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1.收入支出预算安排情况</w:t>
      </w:r>
    </w:p>
    <w:p w14:paraId="646D9079">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2022年部门预算总收入为104.49万元，其中财政拨款104.49万元。</w:t>
      </w:r>
    </w:p>
    <w:p w14:paraId="39C58AFD">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2022年部门预算总支出104.49元，其中基本支出预算数89.49万元，项目支出预算数15万元。</w:t>
      </w:r>
    </w:p>
    <w:p w14:paraId="72058107">
      <w:pPr>
        <w:ind w:firstLine="482" w:firstLineChars="150"/>
        <w:rPr>
          <w:rFonts w:hint="eastAsia" w:ascii="仿宋" w:hAnsi="仿宋" w:eastAsia="仿宋"/>
          <w:b/>
          <w:color w:val="000000"/>
          <w:sz w:val="32"/>
          <w:szCs w:val="32"/>
        </w:rPr>
      </w:pPr>
      <w:r>
        <w:rPr>
          <w:rFonts w:hint="eastAsia" w:ascii="仿宋" w:hAnsi="仿宋" w:eastAsia="仿宋"/>
          <w:b/>
          <w:color w:val="000000"/>
          <w:sz w:val="32"/>
          <w:szCs w:val="32"/>
        </w:rPr>
        <w:t>2.收入支出预算执行情况</w:t>
      </w:r>
      <w:r>
        <w:rPr>
          <w:rFonts w:hint="eastAsia" w:ascii="仿宋" w:hAnsi="仿宋" w:eastAsia="仿宋"/>
          <w:color w:val="000000"/>
          <w:sz w:val="32"/>
          <w:szCs w:val="32"/>
        </w:rPr>
        <w:t>1</w:t>
      </w:r>
    </w:p>
    <w:p w14:paraId="64A56F9C">
      <w:pPr>
        <w:pStyle w:val="6"/>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2022年部门决算总收入为160.06万元，其中财政拨155.95万元，上年结转4.11万元。财政拨款较2021年增加了45.43万元，增加了39.63%，主要是因为</w:t>
      </w:r>
      <w:r>
        <w:rPr>
          <w:rFonts w:ascii="仿宋_GB2312" w:hAnsi="仿宋_GB2312" w:cs="黑体"/>
          <w:sz w:val="32"/>
          <w:szCs w:val="32"/>
        </w:rPr>
        <w:t>增加了免费开放资金、</w:t>
      </w:r>
      <w:r>
        <w:rPr>
          <w:rFonts w:hint="eastAsia" w:ascii="仿宋" w:hAnsi="仿宋" w:eastAsia="仿宋" w:cs="黑体"/>
          <w:sz w:val="32"/>
          <w:szCs w:val="32"/>
        </w:rPr>
        <w:t>文化综合发展专项资金、</w:t>
      </w:r>
      <w:r>
        <w:rPr>
          <w:rFonts w:hint="eastAsia" w:ascii="仿宋" w:hAnsi="仿宋" w:eastAsia="仿宋" w:cs="黑体"/>
          <w:sz w:val="32"/>
          <w:szCs w:val="32"/>
          <w:shd w:val="clear" w:color="auto" w:fill="FFFFFF"/>
        </w:rPr>
        <w:t>丝弦保护资金</w:t>
      </w:r>
      <w:r>
        <w:rPr>
          <w:rFonts w:hint="eastAsia" w:ascii="仿宋" w:hAnsi="仿宋" w:eastAsia="仿宋" w:cs="黑体"/>
          <w:sz w:val="32"/>
          <w:szCs w:val="32"/>
        </w:rPr>
        <w:t>专项资金</w:t>
      </w:r>
      <w:r>
        <w:rPr>
          <w:rFonts w:ascii="仿宋_GB2312" w:hAnsi="仿宋_GB2312" w:cs="黑体"/>
          <w:sz w:val="32"/>
          <w:szCs w:val="32"/>
        </w:rPr>
        <w:t>。</w:t>
      </w:r>
    </w:p>
    <w:p w14:paraId="206993BE">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2022年部门决算总支出160.06万元，其中基本支出决算数115.91万元，项目支出决算数44.15万元。决算支出额较2021年增加了45.43万元，增加了39.63%，主要是因为</w:t>
      </w:r>
      <w:r>
        <w:rPr>
          <w:rFonts w:ascii="仿宋_GB2312" w:hAnsi="仿宋_GB2312"/>
          <w:sz w:val="32"/>
          <w:szCs w:val="32"/>
        </w:rPr>
        <w:t>增加了免费开放资金、</w:t>
      </w:r>
      <w:r>
        <w:rPr>
          <w:rFonts w:hint="eastAsia" w:ascii="仿宋" w:hAnsi="仿宋" w:eastAsia="仿宋"/>
          <w:sz w:val="32"/>
          <w:szCs w:val="32"/>
        </w:rPr>
        <w:t>文化综合发展专项资金、</w:t>
      </w:r>
      <w:r>
        <w:rPr>
          <w:rFonts w:hint="eastAsia" w:ascii="仿宋" w:hAnsi="仿宋" w:eastAsia="仿宋"/>
          <w:sz w:val="32"/>
          <w:szCs w:val="32"/>
          <w:shd w:val="clear" w:color="auto" w:fill="FFFFFF"/>
        </w:rPr>
        <w:t>丝弦保护资金</w:t>
      </w:r>
      <w:r>
        <w:rPr>
          <w:rFonts w:hint="eastAsia" w:ascii="仿宋" w:hAnsi="仿宋" w:eastAsia="仿宋"/>
          <w:sz w:val="32"/>
          <w:szCs w:val="32"/>
        </w:rPr>
        <w:t>专项资金</w:t>
      </w:r>
      <w:r>
        <w:rPr>
          <w:rFonts w:ascii="仿宋_GB2312" w:hAnsi="仿宋_GB2312"/>
          <w:sz w:val="32"/>
          <w:szCs w:val="32"/>
        </w:rPr>
        <w:t>。</w:t>
      </w:r>
      <w:r>
        <w:rPr>
          <w:rFonts w:hint="eastAsia" w:ascii="仿宋" w:hAnsi="仿宋" w:eastAsia="仿宋"/>
          <w:color w:val="000000"/>
          <w:sz w:val="32"/>
          <w:szCs w:val="32"/>
        </w:rPr>
        <w:t>。</w:t>
      </w:r>
    </w:p>
    <w:p w14:paraId="4F321E03">
      <w:pPr>
        <w:ind w:firstLine="960" w:firstLineChars="300"/>
        <w:rPr>
          <w:rFonts w:hint="eastAsia" w:ascii="仿宋" w:hAnsi="仿宋" w:eastAsia="仿宋"/>
          <w:color w:val="000000"/>
          <w:sz w:val="32"/>
          <w:szCs w:val="32"/>
        </w:rPr>
      </w:pPr>
      <w:r>
        <w:rPr>
          <w:rFonts w:hint="eastAsia" w:ascii="仿宋" w:hAnsi="仿宋" w:eastAsia="仿宋"/>
          <w:color w:val="000000"/>
          <w:sz w:val="32"/>
          <w:szCs w:val="32"/>
        </w:rPr>
        <w:t xml:space="preserve">财政拨款支出主要用于我单位的正常运转、完成日常工作任务以及承担我单位应承担的相关业务工作开展。 </w:t>
      </w:r>
    </w:p>
    <w:p w14:paraId="1E9F5B59">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般公共预算财政拨款基本支出106.41万元，其中人员经费90.81万元、日常公用15.60万元，是用于保障单位日常支出，包括基本工资、津贴补贴等人员经费以及办公费、印刷费、水电费、办公设备购置等日常公用经费。</w:t>
      </w:r>
    </w:p>
    <w:p w14:paraId="4725A1E5">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一般公共预算财政拨款项目支出44.15万元，是用于保障单位相关专项业务工作的经费支出。</w:t>
      </w:r>
    </w:p>
    <w:p w14:paraId="3910D752">
      <w:pPr>
        <w:adjustRightInd w:val="0"/>
        <w:snapToGrid w:val="0"/>
        <w:spacing w:line="540" w:lineRule="atLeas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3、“三公”经费预算支出情况</w:t>
      </w:r>
    </w:p>
    <w:p w14:paraId="4BB6A0A1">
      <w:pPr>
        <w:widowControl/>
        <w:spacing w:line="560" w:lineRule="exact"/>
        <w:ind w:firstLine="800" w:firstLineChars="250"/>
        <w:jc w:val="left"/>
        <w:rPr>
          <w:rFonts w:hint="eastAsia" w:ascii="仿宋" w:hAnsi="仿宋" w:eastAsia="仿宋"/>
          <w:color w:val="000000"/>
          <w:sz w:val="32"/>
          <w:szCs w:val="32"/>
        </w:rPr>
      </w:pPr>
      <w:r>
        <w:rPr>
          <w:rFonts w:hint="eastAsia" w:ascii="仿宋" w:hAnsi="仿宋" w:eastAsia="仿宋"/>
          <w:color w:val="000000"/>
          <w:sz w:val="32"/>
          <w:szCs w:val="32"/>
        </w:rPr>
        <w:t>2022年辰溪县文化馆“三公”经费预算数1万元，其中公务用车购置和维护经费0万元（其中公务用车购置费0万元，公务用车运行维护费0万元），公务接待费1万元（其中公务接待费0万元，出国经费0万元）；2021年“三公”经费决算数0万元，其中公务用车购置和维护经费0万元（其中公务用车购置费0万元，公务用车运行维护费0万元），公务接待费0万元，2022年“三公”经费决算数0万元，与2021年“三公”经费决算持平。减少的主要原因是认真贯彻落实中央“八项规定”精神和厉行节约要求，进一步从严控制“三公”经费开支，全年实际支出比预算有所节约。</w:t>
      </w:r>
    </w:p>
    <w:p w14:paraId="3881B56E">
      <w:pPr>
        <w:pStyle w:val="2"/>
        <w:numPr>
          <w:ilvl w:val="0"/>
          <w:numId w:val="2"/>
        </w:numPr>
        <w:ind w:firstLine="643"/>
        <w:rPr>
          <w:rFonts w:hint="eastAsia" w:ascii="仿宋" w:hAnsi="仿宋" w:eastAsia="仿宋"/>
          <w:b/>
          <w:bCs/>
          <w:color w:val="000000"/>
          <w:sz w:val="32"/>
          <w:szCs w:val="32"/>
        </w:rPr>
      </w:pPr>
      <w:r>
        <w:rPr>
          <w:rFonts w:hint="eastAsia" w:ascii="仿宋" w:hAnsi="仿宋" w:eastAsia="仿宋"/>
          <w:b/>
          <w:bCs/>
          <w:color w:val="000000"/>
          <w:sz w:val="32"/>
          <w:szCs w:val="32"/>
        </w:rPr>
        <w:t>政府采购情况</w:t>
      </w:r>
    </w:p>
    <w:p w14:paraId="5E3AAC70">
      <w:pPr>
        <w:pStyle w:val="2"/>
        <w:ind w:left="420" w:leftChars="200" w:firstLine="643"/>
        <w:rPr>
          <w:rFonts w:hint="eastAsia" w:ascii="仿宋" w:hAnsi="仿宋" w:eastAsia="仿宋"/>
          <w:sz w:val="32"/>
          <w:szCs w:val="32"/>
        </w:rPr>
      </w:pPr>
      <w:r>
        <w:rPr>
          <w:rFonts w:hint="eastAsia" w:ascii="仿宋" w:hAnsi="仿宋" w:eastAsia="仿宋"/>
          <w:b/>
          <w:bCs/>
          <w:color w:val="000000"/>
          <w:sz w:val="32"/>
          <w:szCs w:val="32"/>
        </w:rPr>
        <w:t xml:space="preserve"> </w:t>
      </w:r>
      <w:r>
        <w:rPr>
          <w:rFonts w:hint="eastAsia" w:ascii="仿宋" w:hAnsi="仿宋" w:eastAsia="仿宋"/>
          <w:sz w:val="32"/>
          <w:szCs w:val="32"/>
        </w:rPr>
        <w:t xml:space="preserve"> 2022年度无政府采购项目</w:t>
      </w:r>
    </w:p>
    <w:p w14:paraId="4DE06FF3">
      <w:pPr>
        <w:widowControl/>
        <w:spacing w:line="560" w:lineRule="exact"/>
        <w:jc w:val="left"/>
        <w:rPr>
          <w:rFonts w:hint="eastAsia" w:ascii="仿宋" w:hAnsi="仿宋" w:eastAsia="仿宋"/>
          <w:b/>
          <w:color w:val="000000"/>
          <w:sz w:val="32"/>
          <w:szCs w:val="32"/>
        </w:rPr>
      </w:pPr>
      <w:r>
        <w:rPr>
          <w:rFonts w:hint="eastAsia" w:ascii="仿宋" w:hAnsi="仿宋" w:eastAsia="仿宋"/>
          <w:sz w:val="32"/>
          <w:szCs w:val="32"/>
        </w:rPr>
        <w:t>（二）、</w:t>
      </w:r>
      <w:r>
        <w:rPr>
          <w:rFonts w:hint="eastAsia" w:ascii="仿宋" w:hAnsi="仿宋" w:eastAsia="仿宋"/>
          <w:b/>
          <w:color w:val="000000"/>
          <w:sz w:val="32"/>
          <w:szCs w:val="32"/>
        </w:rPr>
        <w:t>年度专项资金安排及支出结余情况</w:t>
      </w:r>
    </w:p>
    <w:p w14:paraId="039D653C">
      <w:pPr>
        <w:pStyle w:val="2"/>
        <w:ind w:firstLine="640"/>
        <w:rPr>
          <w:rFonts w:hint="eastAsia" w:ascii="仿宋" w:hAnsi="仿宋" w:eastAsia="仿宋"/>
          <w:sz w:val="32"/>
          <w:szCs w:val="32"/>
        </w:rPr>
      </w:pPr>
      <w:r>
        <w:rPr>
          <w:rFonts w:hint="eastAsia" w:ascii="仿宋" w:hAnsi="仿宋" w:eastAsia="仿宋"/>
          <w:sz w:val="32"/>
          <w:szCs w:val="32"/>
        </w:rPr>
        <w:t>1、年度专项资金支出情况</w:t>
      </w:r>
    </w:p>
    <w:p w14:paraId="655ECA43">
      <w:pPr>
        <w:pStyle w:val="5"/>
        <w:autoSpaceDE w:val="0"/>
        <w:spacing w:line="360" w:lineRule="auto"/>
        <w:ind w:firstLine="640" w:firstLineChars="200"/>
        <w:rPr>
          <w:rFonts w:hint="eastAsia" w:ascii="仿宋" w:hAnsi="仿宋" w:eastAsia="仿宋"/>
          <w:color w:val="333333"/>
          <w:sz w:val="32"/>
          <w:szCs w:val="32"/>
          <w:shd w:val="clear" w:color="auto" w:fill="FFFFFF"/>
        </w:rPr>
      </w:pPr>
      <w:r>
        <w:rPr>
          <w:rFonts w:hint="eastAsia" w:ascii="仿宋" w:hAnsi="仿宋" w:eastAsia="仿宋"/>
          <w:color w:val="000000"/>
          <w:sz w:val="32"/>
          <w:szCs w:val="32"/>
        </w:rPr>
        <w:t>2022年项目资金决算总支出计44.15万元，其中文化馆</w:t>
      </w:r>
      <w:r>
        <w:rPr>
          <w:rFonts w:hint="eastAsia" w:ascii="仿宋" w:hAnsi="仿宋" w:eastAsia="仿宋"/>
          <w:sz w:val="32"/>
          <w:szCs w:val="32"/>
        </w:rPr>
        <w:t>免费开放专项资金18.4万元</w:t>
      </w:r>
      <w:r>
        <w:rPr>
          <w:rFonts w:hint="eastAsia" w:ascii="仿宋" w:hAnsi="仿宋" w:eastAsia="仿宋"/>
          <w:color w:val="333333"/>
          <w:sz w:val="32"/>
          <w:szCs w:val="32"/>
          <w:shd w:val="clear" w:color="auto" w:fill="FFFFFF"/>
        </w:rPr>
        <w:t>。免费开放专项资金主要用于文化馆实施免费开放日常运转经费支出。</w:t>
      </w:r>
    </w:p>
    <w:p w14:paraId="7E067D72">
      <w:pPr>
        <w:pStyle w:val="5"/>
        <w:autoSpaceDE w:val="0"/>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rPr>
        <w:t>文化综合发展专项资金15.75万元。中央补助地方文化建设专项资金，主要用于我县文化活动</w:t>
      </w:r>
      <w:r>
        <w:rPr>
          <w:rFonts w:hint="eastAsia" w:ascii="仿宋" w:hAnsi="仿宋" w:eastAsia="仿宋"/>
          <w:sz w:val="32"/>
          <w:szCs w:val="32"/>
          <w:shd w:val="clear" w:color="auto" w:fill="FFFFFF"/>
        </w:rPr>
        <w:t>支出。</w:t>
      </w:r>
    </w:p>
    <w:p w14:paraId="5ADE4253">
      <w:pPr>
        <w:pStyle w:val="5"/>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sz w:val="32"/>
          <w:szCs w:val="32"/>
          <w:shd w:val="clear" w:color="auto" w:fill="FFFFFF"/>
        </w:rPr>
        <w:t>丝弦保护资金</w:t>
      </w:r>
      <w:r>
        <w:rPr>
          <w:rFonts w:hint="eastAsia" w:ascii="仿宋" w:hAnsi="仿宋" w:eastAsia="仿宋"/>
          <w:sz w:val="32"/>
          <w:szCs w:val="32"/>
        </w:rPr>
        <w:t>专项资金10万元</w:t>
      </w:r>
      <w:r>
        <w:rPr>
          <w:rFonts w:hint="eastAsia" w:ascii="仿宋" w:hAnsi="仿宋" w:eastAsia="仿宋"/>
          <w:sz w:val="32"/>
          <w:szCs w:val="32"/>
          <w:shd w:val="clear" w:color="auto" w:fill="FFFFFF"/>
        </w:rPr>
        <w:t>。丝弦保护资金专项资金，主要用于</w:t>
      </w:r>
      <w:r>
        <w:rPr>
          <w:rFonts w:hint="eastAsia" w:ascii="仿宋" w:hAnsi="仿宋" w:eastAsia="仿宋"/>
          <w:sz w:val="32"/>
          <w:szCs w:val="32"/>
        </w:rPr>
        <w:t>辰溪丝弦传承保护</w:t>
      </w:r>
      <w:r>
        <w:rPr>
          <w:rFonts w:hint="eastAsia" w:ascii="仿宋" w:hAnsi="仿宋" w:eastAsia="仿宋"/>
          <w:sz w:val="32"/>
          <w:szCs w:val="32"/>
          <w:shd w:val="clear" w:color="auto" w:fill="FFFFFF"/>
        </w:rPr>
        <w:t>支出。</w:t>
      </w:r>
    </w:p>
    <w:p w14:paraId="73558956">
      <w:pPr>
        <w:pStyle w:val="2"/>
        <w:ind w:left="420" w:leftChars="200" w:firstLine="640"/>
        <w:rPr>
          <w:rFonts w:hint="eastAsia" w:ascii="仿宋" w:hAnsi="仿宋" w:eastAsia="仿宋"/>
          <w:sz w:val="32"/>
          <w:szCs w:val="32"/>
        </w:rPr>
      </w:pPr>
      <w:r>
        <w:rPr>
          <w:rFonts w:hint="eastAsia" w:ascii="仿宋" w:hAnsi="仿宋" w:eastAsia="仿宋"/>
          <w:sz w:val="32"/>
          <w:szCs w:val="32"/>
        </w:rPr>
        <w:t>2、年度专项资金收支及结余情况</w:t>
      </w:r>
    </w:p>
    <w:p w14:paraId="31D26D69">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2022年专项资金决算收入总额为44.15万元，其中当年财政拨款收入44.15万元；本年专项资金决算支出44.15万元。</w:t>
      </w:r>
    </w:p>
    <w:p w14:paraId="6E67D7FE">
      <w:pPr>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（三）项目完成情况</w:t>
      </w:r>
    </w:p>
    <w:p w14:paraId="2C181676">
      <w:pPr>
        <w:ind w:firstLine="640" w:firstLineChars="200"/>
        <w:rPr>
          <w:rFonts w:hint="eastAsia" w:ascii="仿宋" w:hAnsi="仿宋" w:eastAsia="仿宋"/>
          <w:sz w:val="32"/>
          <w:szCs w:val="32"/>
        </w:rPr>
      </w:pPr>
      <w:r>
        <w:rPr>
          <w:rFonts w:hint="eastAsia" w:ascii="仿宋" w:hAnsi="仿宋" w:eastAsia="仿宋"/>
          <w:color w:val="000000"/>
          <w:sz w:val="32"/>
          <w:szCs w:val="32"/>
        </w:rPr>
        <w:t>2022年度项目全年预算总支出44.15万元，项目决算支出44.15万元，完成全年预算的100%，</w:t>
      </w:r>
      <w:r>
        <w:rPr>
          <w:rFonts w:hint="eastAsia" w:ascii="仿宋" w:hAnsi="仿宋" w:eastAsia="仿宋"/>
          <w:sz w:val="32"/>
          <w:szCs w:val="32"/>
        </w:rPr>
        <w:t>基本上完成各对应工作项目，达到保运转的基本目标。</w:t>
      </w:r>
    </w:p>
    <w:p w14:paraId="1B28D855">
      <w:pPr>
        <w:ind w:left="640"/>
        <w:rPr>
          <w:rFonts w:hint="eastAsia" w:ascii="仿宋" w:hAnsi="仿宋" w:eastAsia="仿宋"/>
          <w:b/>
          <w:color w:val="000000"/>
          <w:sz w:val="32"/>
          <w:szCs w:val="32"/>
        </w:rPr>
      </w:pPr>
      <w:r>
        <w:rPr>
          <w:rFonts w:hint="eastAsia" w:ascii="仿宋" w:hAnsi="仿宋" w:eastAsia="仿宋"/>
          <w:kern w:val="0"/>
          <w:sz w:val="32"/>
          <w:szCs w:val="32"/>
        </w:rPr>
        <w:t>三、</w:t>
      </w:r>
      <w:r>
        <w:rPr>
          <w:rFonts w:hint="eastAsia" w:ascii="仿宋" w:hAnsi="仿宋" w:eastAsia="仿宋"/>
          <w:b/>
          <w:color w:val="000000"/>
          <w:sz w:val="32"/>
          <w:szCs w:val="32"/>
        </w:rPr>
        <w:t>部门职责履行情况</w:t>
      </w:r>
    </w:p>
    <w:p w14:paraId="6C3BC2AE">
      <w:pPr>
        <w:pStyle w:val="2"/>
        <w:ind w:firstLine="640"/>
        <w:rPr>
          <w:rFonts w:hint="eastAsia" w:ascii="仿宋" w:hAnsi="仿宋" w:eastAsia="仿宋"/>
          <w:kern w:val="0"/>
          <w:sz w:val="32"/>
          <w:szCs w:val="32"/>
        </w:rPr>
      </w:pPr>
      <w:r>
        <w:rPr>
          <w:rFonts w:hint="eastAsia" w:ascii="仿宋" w:hAnsi="仿宋" w:eastAsia="仿宋"/>
          <w:kern w:val="0"/>
          <w:sz w:val="32"/>
          <w:szCs w:val="32"/>
        </w:rPr>
        <w:t>（一）2022年度整体工作目标任务完成</w:t>
      </w:r>
      <w:r>
        <w:rPr>
          <w:rFonts w:hint="eastAsia" w:ascii="仿宋" w:hAnsi="仿宋" w:eastAsia="仿宋"/>
          <w:sz w:val="32"/>
          <w:szCs w:val="32"/>
        </w:rPr>
        <w:t>情况</w:t>
      </w:r>
      <w:r>
        <w:rPr>
          <w:rFonts w:hint="eastAsia" w:ascii="仿宋" w:hAnsi="仿宋" w:eastAsia="仿宋"/>
          <w:kern w:val="0"/>
          <w:sz w:val="32"/>
          <w:szCs w:val="32"/>
        </w:rPr>
        <w:t xml:space="preserve"> </w:t>
      </w:r>
    </w:p>
    <w:p w14:paraId="07C0D1C4">
      <w:pPr>
        <w:ind w:firstLine="640"/>
        <w:rPr>
          <w:rFonts w:hint="eastAsia" w:ascii="仿宋" w:hAnsi="仿宋" w:eastAsia="仿宋"/>
          <w:b/>
          <w:bCs/>
          <w:sz w:val="32"/>
          <w:szCs w:val="32"/>
        </w:rPr>
      </w:pPr>
      <w:r>
        <w:rPr>
          <w:rFonts w:hint="eastAsia" w:ascii="仿宋" w:hAnsi="仿宋" w:eastAsia="仿宋"/>
          <w:sz w:val="32"/>
          <w:szCs w:val="32"/>
        </w:rPr>
        <w:t>我馆是我县公共文化服务体系重要组成部分。</w:t>
      </w:r>
      <w:r>
        <w:rPr>
          <w:rFonts w:hint="eastAsia" w:ascii="仿宋" w:hAnsi="仿宋" w:eastAsia="仿宋" w:cs="宋体"/>
          <w:kern w:val="0"/>
          <w:sz w:val="32"/>
          <w:szCs w:val="32"/>
        </w:rPr>
        <w:t>组织</w:t>
      </w:r>
      <w:r>
        <w:rPr>
          <w:rFonts w:hint="eastAsia" w:ascii="仿宋" w:hAnsi="仿宋" w:eastAsia="仿宋"/>
          <w:sz w:val="32"/>
          <w:szCs w:val="32"/>
        </w:rPr>
        <w:t>开展一系列文化服务活动：承办2022年辰溪县迎新春“三区”文化人才汇报演、举办新春走进龚家湾“送春联、送影展、送照片”基层惠民活动、开展“艺”起向未来、幸福过大年线上传统文艺作品展、举办2022年“艺之梦”春季公益青少年美术、书法免费培训、举办“雷锋就在身边”辰溪县文化馆“爱飞翔”志愿者走进寺前敬老院志愿活动；开展戏曲进乡村惠民演出15场、协助举办第五季“中国创翼”创业创新大赛辰溪县选拔赛；文艺助力乡村振兴原创歌曲《龚家湾！我可爱的家乡》向社会推广、拍摄《幸福瑶乡艳阳天》MV上文旅云平台传播；开展非遗项目茶山号子、辰溪丝弦、辰溪双唢呐、辰溪山歌等项目走进思源学校、举办纪念湘西剿匪胜利70周年“辰河神韵”2022年“文化和自然遗产日”辰溪丝弦优秀曲目专场展演和2022年“文化和自然遗产日”辰溪非遗代表性项目云展演、组织辰溪丝弦节目参加怀化市羽毛球选拔赛开幕式展演、举办“喜迎二十大、奋进新征程”—“忆党史˙铭党恩˙颂党情˙展富采“文艺惠民演出、举办追寻“红色辰溪印记”原创歌曲征集活动专家座谈会和对征集作品进行评选、协助举办2022年困难退役军人子女（大学生）捐资助学活动、举办2022年“爱飞翔”文化志愿者走进五宝田开展志愿服务活动、拍摄《辰河数风流》原创歌曲视频资料、承办2022年辰溪县“放歌红土地，喜迎二十大”纪念湘西剿匪胜利70周年书画摄影展。</w:t>
      </w:r>
    </w:p>
    <w:p w14:paraId="7B4AA6AE">
      <w:pPr>
        <w:ind w:firstLine="640" w:firstLineChars="200"/>
        <w:rPr>
          <w:rFonts w:hint="eastAsia" w:ascii="仿宋" w:eastAsia="仿宋"/>
          <w:sz w:val="32"/>
          <w:szCs w:val="32"/>
        </w:rPr>
      </w:pPr>
      <w:r>
        <w:rPr>
          <w:rFonts w:hint="eastAsia" w:ascii="仿宋" w:hAnsi="仿宋" w:eastAsia="仿宋"/>
          <w:sz w:val="32"/>
          <w:szCs w:val="32"/>
        </w:rPr>
        <w:t>文艺创作：摄影作品《辰溪县龚家湾村》、《燕尾龙舟竞技忙》、《精雕细刻》、《陶艺(组图)》、美术作品有油画作品《愿天下人都有饱饭吃》、《袁隆平雕塑像》、《龚家湾古建筑系列之一、二》、《辰溪县开发区系列之一、二》在辰溪县“放歌红土地，喜迎二十大”纪念湘西剿匪胜利70周年书画摄影展获入展奖、音乐、曲艺、快板作品：音乐《辰河数风流》、《走进辰溪就走进你》、《纪念碑前的思念》，曲艺作品《大鼓声声丝弦阵阵》，快板《再续平安辉煌篇》等。</w:t>
      </w:r>
    </w:p>
    <w:p w14:paraId="4FC9BCD8">
      <w:pPr>
        <w:pStyle w:val="2"/>
        <w:ind w:firstLine="640"/>
        <w:rPr>
          <w:rFonts w:hint="eastAsia" w:ascii="仿宋" w:hAnsi="仿宋" w:eastAsia="仿宋"/>
          <w:sz w:val="32"/>
          <w:szCs w:val="32"/>
        </w:rPr>
      </w:pPr>
      <w:r>
        <w:rPr>
          <w:rFonts w:hint="eastAsia" w:ascii="仿宋" w:hAnsi="仿宋" w:eastAsia="仿宋"/>
          <w:sz w:val="32"/>
          <w:szCs w:val="32"/>
        </w:rPr>
        <w:t>（二）目标任务完成经济效益：无。</w:t>
      </w:r>
    </w:p>
    <w:p w14:paraId="4F9B1607">
      <w:pPr>
        <w:pStyle w:val="2"/>
        <w:ind w:firstLine="640"/>
        <w:rPr>
          <w:rFonts w:hint="eastAsia" w:ascii="仿宋" w:hAnsi="仿宋" w:eastAsia="仿宋"/>
          <w:color w:val="000000"/>
          <w:kern w:val="0"/>
          <w:sz w:val="32"/>
          <w:szCs w:val="32"/>
        </w:rPr>
      </w:pPr>
      <w:r>
        <w:rPr>
          <w:rFonts w:hint="eastAsia" w:ascii="仿宋" w:hAnsi="仿宋" w:eastAsia="仿宋"/>
          <w:color w:val="000000"/>
          <w:sz w:val="32"/>
          <w:szCs w:val="32"/>
        </w:rPr>
        <w:t>（三）目标任务完成初会效益：</w:t>
      </w:r>
      <w:r>
        <w:rPr>
          <w:rFonts w:hint="eastAsia" w:ascii="仿宋" w:hAnsi="仿宋" w:eastAsia="仿宋"/>
          <w:color w:val="000000"/>
          <w:kern w:val="0"/>
          <w:sz w:val="32"/>
          <w:szCs w:val="32"/>
        </w:rPr>
        <w:t>丰富群众业余文化生活，推动文化活动率90%≤完成值≤98%。</w:t>
      </w:r>
    </w:p>
    <w:p w14:paraId="52CE9CA0">
      <w:pPr>
        <w:pStyle w:val="2"/>
        <w:ind w:left="298" w:leftChars="142" w:firstLine="320" w:firstLineChars="100"/>
        <w:rPr>
          <w:rFonts w:hint="eastAsia" w:ascii="仿宋" w:hAnsi="仿宋" w:eastAsia="仿宋"/>
          <w:color w:val="000000"/>
          <w:sz w:val="32"/>
          <w:szCs w:val="32"/>
        </w:rPr>
      </w:pPr>
      <w:r>
        <w:rPr>
          <w:rFonts w:hint="eastAsia" w:ascii="仿宋" w:hAnsi="仿宋" w:eastAsia="仿宋"/>
          <w:color w:val="000000"/>
          <w:sz w:val="32"/>
          <w:szCs w:val="32"/>
        </w:rPr>
        <w:t>（四）目标任务完成可持续影响：指导群众文化工作，开支群众文艺创作</w:t>
      </w:r>
      <w:r>
        <w:rPr>
          <w:rFonts w:hint="eastAsia" w:ascii="仿宋" w:hAnsi="仿宋" w:eastAsia="仿宋"/>
          <w:color w:val="000000"/>
          <w:kern w:val="0"/>
          <w:sz w:val="32"/>
          <w:szCs w:val="32"/>
        </w:rPr>
        <w:t>达标率90%≤完成值≤98%。</w:t>
      </w:r>
    </w:p>
    <w:p w14:paraId="31FD9116">
      <w:pPr>
        <w:pStyle w:val="2"/>
        <w:ind w:firstLine="640"/>
        <w:rPr>
          <w:rFonts w:hint="eastAsia" w:ascii="仿宋" w:hAnsi="仿宋" w:eastAsia="仿宋"/>
          <w:color w:val="000000"/>
          <w:sz w:val="32"/>
          <w:szCs w:val="32"/>
        </w:rPr>
      </w:pPr>
      <w:r>
        <w:rPr>
          <w:rFonts w:hint="eastAsia" w:ascii="仿宋" w:hAnsi="仿宋" w:eastAsia="仿宋"/>
          <w:color w:val="000000"/>
          <w:sz w:val="32"/>
          <w:szCs w:val="32"/>
        </w:rPr>
        <w:t>（五）目标任务完成服务对象满意度：</w:t>
      </w:r>
      <w:r>
        <w:rPr>
          <w:rFonts w:hint="eastAsia" w:ascii="仿宋" w:hAnsi="仿宋" w:eastAsia="仿宋"/>
          <w:color w:val="000000"/>
          <w:kern w:val="0"/>
          <w:sz w:val="32"/>
          <w:szCs w:val="32"/>
        </w:rPr>
        <w:t>广大群众对免费开放政策及公共服务水平满意度率90%≤完成值≤98%。</w:t>
      </w:r>
      <w:r>
        <w:rPr>
          <w:rFonts w:hint="eastAsia" w:ascii="仿宋" w:hAnsi="仿宋" w:eastAsia="仿宋"/>
          <w:color w:val="000000"/>
          <w:sz w:val="32"/>
          <w:szCs w:val="32"/>
        </w:rPr>
        <w:t xml:space="preserve"> </w:t>
      </w:r>
    </w:p>
    <w:p w14:paraId="3F546000">
      <w:pPr>
        <w:ind w:firstLine="643" w:firstLineChars="200"/>
        <w:rPr>
          <w:rFonts w:hint="eastAsia" w:ascii="仿宋" w:hAnsi="仿宋" w:eastAsia="仿宋"/>
          <w:b/>
          <w:color w:val="000000"/>
          <w:sz w:val="32"/>
          <w:szCs w:val="32"/>
        </w:rPr>
      </w:pPr>
      <w:r>
        <w:rPr>
          <w:rFonts w:hint="eastAsia" w:ascii="仿宋" w:hAnsi="仿宋" w:eastAsia="仿宋"/>
          <w:b/>
          <w:sz w:val="32"/>
          <w:szCs w:val="32"/>
        </w:rPr>
        <w:t>四、</w:t>
      </w:r>
      <w:r>
        <w:rPr>
          <w:rFonts w:hint="eastAsia" w:ascii="仿宋" w:hAnsi="仿宋" w:eastAsia="仿宋"/>
          <w:b/>
          <w:color w:val="000000"/>
          <w:sz w:val="32"/>
          <w:szCs w:val="32"/>
        </w:rPr>
        <w:t>评价结论及建议</w:t>
      </w:r>
    </w:p>
    <w:p w14:paraId="04EB7557">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（一）评价结论</w:t>
      </w:r>
    </w:p>
    <w:p w14:paraId="7AE53368">
      <w:pPr>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根据财政部门的要求，通过对本单位2022年所有经费收支情况进行自评，对照自评表及评分表认真核查单位的各项财务管理制度及预算的执行情况进行疏理，评价结论如下：</w:t>
      </w:r>
    </w:p>
    <w:p w14:paraId="3E71630D">
      <w:pPr>
        <w:numPr>
          <w:ilvl w:val="0"/>
          <w:numId w:val="3"/>
        </w:numPr>
        <w:ind w:firstLine="640" w:firstLineChars="200"/>
        <w:rPr>
          <w:rFonts w:hint="eastAsia" w:ascii="仿宋" w:hAnsi="仿宋" w:eastAsia="仿宋"/>
          <w:color w:val="000000"/>
          <w:kern w:val="0"/>
          <w:sz w:val="32"/>
          <w:szCs w:val="32"/>
        </w:rPr>
      </w:pPr>
      <w:r>
        <w:rPr>
          <w:rFonts w:hint="eastAsia" w:ascii="仿宋" w:hAnsi="仿宋" w:eastAsia="仿宋"/>
          <w:bCs/>
          <w:color w:val="000000"/>
          <w:sz w:val="32"/>
          <w:szCs w:val="32"/>
        </w:rPr>
        <w:t>单位日常经费支出符合各项财务制度及</w:t>
      </w:r>
      <w:r>
        <w:rPr>
          <w:rFonts w:hint="eastAsia" w:ascii="仿宋" w:hAnsi="仿宋" w:eastAsia="仿宋"/>
          <w:bCs/>
          <w:color w:val="000000"/>
          <w:kern w:val="0"/>
          <w:sz w:val="32"/>
          <w:szCs w:val="32"/>
        </w:rPr>
        <w:t>厉</w:t>
      </w:r>
      <w:r>
        <w:rPr>
          <w:rFonts w:hint="eastAsia" w:ascii="仿宋" w:hAnsi="仿宋" w:eastAsia="仿宋"/>
          <w:color w:val="000000"/>
          <w:kern w:val="0"/>
          <w:sz w:val="32"/>
          <w:szCs w:val="32"/>
        </w:rPr>
        <w:t>行节约原则，基本能保证单位运转及工作开展。</w:t>
      </w:r>
    </w:p>
    <w:p w14:paraId="76C4FCB8">
      <w:pPr>
        <w:numPr>
          <w:ilvl w:val="0"/>
          <w:numId w:val="3"/>
        </w:numPr>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专项资金管理制度健全，</w:t>
      </w:r>
      <w:r>
        <w:rPr>
          <w:rFonts w:hint="eastAsia" w:ascii="仿宋" w:hAnsi="仿宋" w:eastAsia="仿宋"/>
          <w:color w:val="000000"/>
          <w:sz w:val="32"/>
          <w:szCs w:val="32"/>
          <w:shd w:val="clear" w:color="auto" w:fill="FFFFFF"/>
        </w:rPr>
        <w:t>每一项支出，做到事前有计划预算，有项目资金支出请示，事中有工作进度报告，事后由结算报告，确保资金管理制度化、规范化。坚持按照财务管理规定，完成支付手续。</w:t>
      </w:r>
      <w:r>
        <w:rPr>
          <w:rFonts w:hint="eastAsia" w:ascii="仿宋" w:hAnsi="仿宋" w:eastAsia="仿宋"/>
          <w:sz w:val="32"/>
          <w:szCs w:val="32"/>
        </w:rPr>
        <w:t xml:space="preserve">接受同级财政和主管部门的指导和监督。 </w:t>
      </w:r>
    </w:p>
    <w:p w14:paraId="1FFE5698">
      <w:pPr>
        <w:numPr>
          <w:ilvl w:val="0"/>
          <w:numId w:val="3"/>
        </w:numPr>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财务制度健全，单位预算编制基本符合相关国家政策及单位职责实际情况，预算收支管理贯彻在全年的实际经费收支全过程。</w:t>
      </w:r>
    </w:p>
    <w:p w14:paraId="235CAE9C">
      <w:pPr>
        <w:widowControl/>
        <w:shd w:val="clear" w:color="auto" w:fill="FFFFFF"/>
        <w:spacing w:line="578" w:lineRule="atLeast"/>
        <w:ind w:firstLine="48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4、项目资金使用，严格控制成本预算，坚持项目经费用在刀刃上，社会效益大与投资成本；坚持厉行节约原则，既坚持把住经费投入关口，又保证项目建设和管理质量。通过管理项目资金的合力分配、资金使用、资金管理的措施落地，进一步推进体育场馆免费或低收费开放有序推进。</w:t>
      </w:r>
    </w:p>
    <w:p w14:paraId="7DC5FF8B">
      <w:pPr>
        <w:widowControl/>
        <w:shd w:val="clear" w:color="auto" w:fill="FFFFFF"/>
        <w:spacing w:line="578" w:lineRule="atLeast"/>
        <w:ind w:firstLine="640" w:firstLineChars="200"/>
        <w:jc w:val="left"/>
        <w:rPr>
          <w:rFonts w:hint="eastAsia" w:ascii="仿宋" w:hAnsi="仿宋" w:eastAsia="仿宋"/>
          <w:sz w:val="32"/>
          <w:szCs w:val="32"/>
        </w:rPr>
      </w:pPr>
      <w:r>
        <w:rPr>
          <w:rFonts w:hint="eastAsia" w:ascii="仿宋" w:hAnsi="仿宋" w:eastAsia="仿宋"/>
          <w:color w:val="000000"/>
          <w:kern w:val="0"/>
          <w:sz w:val="32"/>
          <w:szCs w:val="32"/>
        </w:rPr>
        <w:t>5、项目实施</w:t>
      </w:r>
      <w:r>
        <w:rPr>
          <w:rFonts w:hint="eastAsia" w:ascii="仿宋" w:hAnsi="仿宋" w:eastAsia="仿宋"/>
          <w:bCs/>
          <w:color w:val="000000"/>
          <w:kern w:val="0"/>
          <w:sz w:val="32"/>
          <w:szCs w:val="32"/>
        </w:rPr>
        <w:t>对经济和社会的影响。</w:t>
      </w:r>
      <w:r>
        <w:rPr>
          <w:rFonts w:hint="eastAsia" w:ascii="仿宋" w:hAnsi="仿宋" w:eastAsia="仿宋"/>
          <w:color w:val="000000"/>
          <w:kern w:val="0"/>
          <w:sz w:val="32"/>
          <w:szCs w:val="32"/>
        </w:rPr>
        <w:t>加大全民文化活动宣传，引导广大人民群众积极参与文化活动，公共文化服务水平不断提升，提高了辰溪城市品位和知名度，文化事业繁荣发展，全民文艺活动意识有力提升，推广文艺活动的发展。</w:t>
      </w:r>
    </w:p>
    <w:p w14:paraId="2543F250">
      <w:pPr>
        <w:ind w:firstLine="630"/>
        <w:rPr>
          <w:rFonts w:hint="eastAsia" w:ascii="仿宋" w:hAnsi="仿宋" w:eastAsia="仿宋"/>
          <w:color w:val="000000"/>
          <w:sz w:val="32"/>
          <w:szCs w:val="32"/>
        </w:rPr>
      </w:pPr>
      <w:r>
        <w:rPr>
          <w:rFonts w:hint="eastAsia" w:ascii="仿宋" w:hAnsi="仿宋" w:eastAsia="仿宋"/>
          <w:color w:val="000000"/>
          <w:sz w:val="32"/>
          <w:szCs w:val="32"/>
        </w:rPr>
        <w:t>（二）存在问题</w:t>
      </w:r>
    </w:p>
    <w:p w14:paraId="3D56DC32">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1、部门预算编制不规范，项目单位虽然设立了项目资金绩效目标，但目标不够明确、细化和量化。</w:t>
      </w:r>
    </w:p>
    <w:p w14:paraId="6C6278DC">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2. 资金使用效益有待进一步提高。</w:t>
      </w:r>
    </w:p>
    <w:p w14:paraId="6DA54CCC">
      <w:pPr>
        <w:widowControl/>
        <w:spacing w:after="188" w:line="426" w:lineRule="atLeast"/>
        <w:ind w:firstLine="480"/>
        <w:rPr>
          <w:rFonts w:hint="eastAsia" w:ascii="仿宋" w:hAnsi="仿宋" w:eastAsia="仿宋"/>
          <w:color w:val="3D3D3D"/>
          <w:kern w:val="0"/>
          <w:sz w:val="32"/>
          <w:szCs w:val="32"/>
        </w:rPr>
      </w:pPr>
      <w:r>
        <w:rPr>
          <w:rFonts w:hint="eastAsia" w:ascii="仿宋" w:hAnsi="仿宋" w:eastAsia="仿宋"/>
          <w:color w:val="3D3D3D"/>
          <w:kern w:val="0"/>
          <w:sz w:val="32"/>
          <w:szCs w:val="32"/>
        </w:rPr>
        <w:t>3、年度预算与实际执行存在偏差，主要是财政资金紧张，不能按时拨付至单位账上且单位不能及时支付各项支出。</w:t>
      </w:r>
    </w:p>
    <w:p w14:paraId="76CA8292">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（三）改进措施及建议</w:t>
      </w:r>
    </w:p>
    <w:p w14:paraId="3EB1FA27">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、加强单位预算编制工作，根据人员情况、业务开展需要，逐项做出预算计划，不留缺口、不留空项。</w:t>
      </w:r>
    </w:p>
    <w:p w14:paraId="3C5A5D6C">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2、规范账务处理，提高财务信息质量</w:t>
      </w:r>
    </w:p>
    <w:p w14:paraId="01169C37">
      <w:pPr>
        <w:ind w:firstLine="320" w:firstLineChars="100"/>
        <w:rPr>
          <w:rFonts w:hint="eastAsia" w:ascii="仿宋" w:hAnsi="仿宋" w:eastAsia="仿宋"/>
          <w:b/>
          <w:sz w:val="32"/>
          <w:szCs w:val="32"/>
        </w:rPr>
      </w:pPr>
      <w:r>
        <w:rPr>
          <w:rFonts w:hint="eastAsia" w:ascii="仿宋" w:hAnsi="仿宋" w:eastAsia="仿宋"/>
          <w:color w:val="000000"/>
          <w:sz w:val="32"/>
          <w:szCs w:val="32"/>
        </w:rPr>
        <w:t>3、加强业务培训，提高评价水平。健全预算绩效管理制度，推动预算绩效管理科学、程序规范、方法合理、结果可行。每年绩效评价结果作为下年度评价依据。</w:t>
      </w:r>
      <w:r>
        <w:rPr>
          <w:rFonts w:hint="eastAsia" w:ascii="仿宋" w:hAnsi="仿宋" w:eastAsia="仿宋"/>
          <w:b/>
          <w:sz w:val="32"/>
          <w:szCs w:val="32"/>
        </w:rPr>
        <w:t xml:space="preserve">   </w:t>
      </w:r>
      <w:bookmarkStart w:id="0" w:name="_GoBack"/>
      <w:bookmarkEnd w:id="0"/>
    </w:p>
    <w:p w14:paraId="58DF0676">
      <w:pPr>
        <w:pStyle w:val="2"/>
        <w:ind w:firstLine="5783" w:firstLineChars="1800"/>
        <w:rPr>
          <w:rFonts w:hint="eastAsia"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bCs/>
          <w:sz w:val="32"/>
          <w:szCs w:val="32"/>
        </w:rPr>
        <w:t xml:space="preserve">辰溪县文化馆                          </w:t>
      </w:r>
    </w:p>
    <w:p w14:paraId="4DF26BBB">
      <w:pPr>
        <w:pStyle w:val="2"/>
        <w:ind w:firstLine="5760" w:firstLineChars="1800"/>
        <w:rPr>
          <w:rFonts w:hint="eastAsia" w:ascii="仿宋" w:hAnsi="仿宋" w:eastAsia="仿宋"/>
          <w:bCs/>
          <w:sz w:val="32"/>
          <w:szCs w:val="32"/>
        </w:rPr>
      </w:pPr>
      <w:r>
        <w:rPr>
          <w:rFonts w:hint="eastAsia" w:ascii="仿宋" w:hAnsi="仿宋" w:eastAsia="仿宋"/>
          <w:bCs/>
          <w:sz w:val="32"/>
          <w:szCs w:val="32"/>
        </w:rPr>
        <w:t>2023年3月20日</w:t>
      </w:r>
    </w:p>
    <w:p w14:paraId="7645C3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964D4"/>
    <w:multiLevelType w:val="multilevel"/>
    <w:tmpl w:val="07C964D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80646B3"/>
    <w:multiLevelType w:val="multilevel"/>
    <w:tmpl w:val="480646B3"/>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94E1A8B"/>
    <w:multiLevelType w:val="multilevel"/>
    <w:tmpl w:val="694E1A8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NzNjYjk2YTBhMWJmMThhMTgwZGIyNmQ1MDgxNjcifQ=="/>
  </w:docVars>
  <w:rsids>
    <w:rsidRoot w:val="00576D4E"/>
    <w:rsid w:val="00576D4E"/>
    <w:rsid w:val="00A93A88"/>
    <w:rsid w:val="0CEE7390"/>
    <w:rsid w:val="0E3E7B9F"/>
    <w:rsid w:val="69EF0328"/>
    <w:rsid w:val="6F52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customStyle="1" w:styleId="5">
    <w:name w:val="No Spacing"/>
    <w:basedOn w:val="1"/>
    <w:autoRedefine/>
    <w:qFormat/>
    <w:uiPriority w:val="0"/>
  </w:style>
  <w:style w:type="paragraph" w:customStyle="1" w:styleId="6">
    <w:name w:val="Default"/>
    <w:basedOn w:val="1"/>
    <w:qFormat/>
    <w:uiPriority w:val="0"/>
    <w:pPr>
      <w:autoSpaceDE w:val="0"/>
      <w:autoSpaceDN w:val="0"/>
      <w:adjustRightInd w:val="0"/>
      <w:jc w:val="left"/>
    </w:pPr>
    <w:rPr>
      <w:rFonts w:ascii="黑体" w:eastAsia="黑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3197</Words>
  <Characters>3431</Characters>
  <Lines>24</Lines>
  <Paragraphs>6</Paragraphs>
  <TotalTime>1</TotalTime>
  <ScaleCrop>false</ScaleCrop>
  <LinksUpToDate>false</LinksUpToDate>
  <CharactersWithSpaces>3488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2023-09-20T08:45:00Z</dcterms:created>
  <dc:creator>Administrator</dc:creator>
  <cp:lastModifiedBy>Administrator</cp:lastModifiedBy>
  <dcterms:modified xsi:type="dcterms:W3CDTF">2024-09-06T02:26:11Z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50791BD783584E2D85F5A3C8F62C9CB6_12</vt:lpwstr>
  </property>
</Properties>
</file>