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eastAsia="仿宋_GB2312"/>
          <w:spacing w:val="-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仿宋_GB2312"/>
          <w:b/>
          <w:spacing w:val="-2"/>
          <w:sz w:val="32"/>
          <w:szCs w:val="44"/>
        </w:rPr>
        <w:t xml:space="preserve">  </w: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20</w:t>
      </w:r>
      <w:r>
        <w:rPr>
          <w:rFonts w:hint="eastAsia" w:ascii="Times New Roman" w:hAnsi="Times New Roman" w:eastAsia="方正小标宋_GBK" w:cs="Times New Roman"/>
          <w:sz w:val="52"/>
          <w:szCs w:val="52"/>
          <w:lang w:val="en-US" w:eastAsia="zh-CN"/>
        </w:rPr>
        <w:t>22</w:t>
      </w:r>
      <w:r>
        <w:rPr>
          <w:rFonts w:ascii="Times New Roman" w:hAnsi="Times New Roman" w:eastAsia="方正小标宋_GBK" w:cs="Times New Roman"/>
          <w:sz w:val="52"/>
          <w:szCs w:val="52"/>
        </w:rPr>
        <w:t>年度</w:t>
      </w:r>
      <w:r>
        <w:rPr>
          <w:rFonts w:hint="eastAsia" w:ascii="Times New Roman" w:hAnsi="Times New Roman" w:eastAsia="方正小标宋_GBK" w:cs="Times New Roman"/>
          <w:sz w:val="52"/>
          <w:szCs w:val="52"/>
          <w:lang w:eastAsia="zh-CN"/>
        </w:rPr>
        <w:t>辰溪县非物质文化遗产保护中心</w:t>
      </w:r>
      <w:r>
        <w:rPr>
          <w:rFonts w:ascii="Times New Roman" w:hAnsi="Times New Roman" w:eastAsia="方正小标宋_GBK" w:cs="Times New Roman"/>
          <w:sz w:val="52"/>
          <w:szCs w:val="52"/>
        </w:rPr>
        <w:t>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（盖章）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楷体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eastAsia="仿宋_GB2312"/>
          <w:b/>
          <w:spacing w:val="-2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1080" w:firstLineChars="300"/>
        <w:jc w:val="both"/>
        <w:rPr>
          <w:rFonts w:hint="eastAsia" w:ascii="黑体" w:hAnsi="黑体" w:eastAsia="黑体" w:cs="Helvetica"/>
          <w:color w:val="3D3D3D"/>
          <w:sz w:val="36"/>
          <w:szCs w:val="36"/>
        </w:rPr>
      </w:pPr>
      <w:r>
        <w:rPr>
          <w:rFonts w:hint="eastAsia" w:ascii="黑体" w:hAnsi="黑体" w:eastAsia="黑体" w:cs="Helvetica"/>
          <w:color w:val="3D3D3D"/>
          <w:sz w:val="36"/>
          <w:szCs w:val="36"/>
        </w:rPr>
        <w:t>辰溪县非物质文化遗产保护中心20</w:t>
      </w:r>
      <w:r>
        <w:rPr>
          <w:rFonts w:hint="eastAsia" w:ascii="黑体" w:hAnsi="黑体" w:eastAsia="黑体" w:cs="Helvetica"/>
          <w:color w:val="3D3D3D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Helvetica"/>
          <w:color w:val="3D3D3D"/>
          <w:sz w:val="36"/>
          <w:szCs w:val="36"/>
        </w:rPr>
        <w:t>年度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2160" w:firstLineChars="600"/>
        <w:jc w:val="both"/>
        <w:rPr>
          <w:rFonts w:hint="eastAsia" w:ascii="黑体" w:hAnsi="黑体" w:eastAsia="黑体" w:cs="Helvetica"/>
          <w:color w:val="3D3D3D"/>
          <w:sz w:val="36"/>
          <w:szCs w:val="36"/>
        </w:rPr>
      </w:pPr>
      <w:r>
        <w:rPr>
          <w:rFonts w:hint="eastAsia" w:ascii="黑体" w:hAnsi="黑体" w:eastAsia="黑体" w:cs="Helvetica"/>
          <w:color w:val="3D3D3D"/>
          <w:sz w:val="36"/>
          <w:szCs w:val="36"/>
        </w:rPr>
        <w:t>部门整体支出绩效自评报告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jc w:val="both"/>
        <w:rPr>
          <w:rFonts w:hint="eastAsia" w:ascii="楷体" w:hAnsi="楷体" w:eastAsia="楷体" w:cs="Times New Roman"/>
          <w:b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/>
          <w:spacing w:val="-2"/>
          <w:kern w:val="2"/>
          <w:sz w:val="32"/>
          <w:szCs w:val="32"/>
          <w:lang w:val="en-US" w:eastAsia="zh-CN" w:bidi="ar-SA"/>
        </w:rPr>
        <w:t>一、部门概况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5" w:firstLineChars="200"/>
        <w:jc w:val="both"/>
        <w:rPr>
          <w:rFonts w:ascii="仿宋" w:hAnsi="仿宋" w:eastAsia="仿宋"/>
          <w:b/>
          <w:bCs/>
          <w:spacing w:val="-2"/>
          <w:sz w:val="32"/>
          <w:szCs w:val="32"/>
        </w:rPr>
      </w:pPr>
      <w:r>
        <w:rPr>
          <w:rFonts w:ascii="仿宋" w:hAnsi="仿宋" w:eastAsia="仿宋"/>
          <w:b/>
          <w:bCs/>
          <w:spacing w:val="-2"/>
          <w:sz w:val="32"/>
          <w:szCs w:val="32"/>
        </w:rPr>
        <w:t>（一）部门基本情况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2" w:firstLineChars="200"/>
        <w:jc w:val="both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1、在职人员情况：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2" w:firstLineChars="200"/>
        <w:jc w:val="both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本单位属全额财政拨款单位,财政全额在职供养人员共计19人。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2" w:firstLineChars="200"/>
        <w:jc w:val="both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2、机构设置：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2" w:firstLineChars="200"/>
        <w:jc w:val="both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本单位作为一级部门预算单位，内设科室为：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2" w:firstLineChars="200"/>
        <w:jc w:val="both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（1）办公室。主要负责文件收发、会务等接待工作；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2" w:firstLineChars="200"/>
        <w:jc w:val="both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信息录入、修改。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2" w:firstLineChars="200"/>
        <w:jc w:val="both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（2）财务股。主要负责单位收入和支出的管理，由单位财务管理。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2" w:firstLineChars="200"/>
        <w:jc w:val="both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（3）博物馆。主要负责完成藏品的征集、研究和展示工作外，还承担科普及宣传等工作。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2" w:firstLineChars="200"/>
        <w:jc w:val="both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（4）业务股。主要负责非物质文化遗产保护方面的各项管理工作。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2" w:firstLineChars="200"/>
        <w:jc w:val="both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（5）保安室。主要负责整个博物馆、库房的安保及消防工作。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2" w:firstLineChars="200"/>
        <w:jc w:val="both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3、主要职能：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2" w:firstLineChars="200"/>
        <w:jc w:val="both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（1）文物征集、鉴定、登编、修复、保管、文物展览。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2" w:firstLineChars="200"/>
        <w:jc w:val="both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（2）对馆藏文物的相关研究、宣传出版。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2" w:firstLineChars="200"/>
        <w:jc w:val="both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（3）完成藏品的征集、研究和展示工作。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2" w:firstLineChars="200"/>
        <w:jc w:val="both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（4）组织贯彻落实国家、省、市有关非物质文化遗产保护研究工作。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2" w:firstLineChars="200"/>
        <w:jc w:val="both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4、部门年度总体工作任务和重点工作任务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  <w:t>非遗工作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  <w:t>做好非遗项目的调查、资料收集、建档保护工作、做好传承人培训、考核工作；做好“文化遗产日”宣传活动；持续开展非遗进校园活动；积极配合搞好“怀化非遗” 抖音号宣传及怀化电视台《多彩金秋》栏目拍摄工作。积极推进“非遗+旅游”等文旅融合发展，借助其他平台促进非遗发展。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  <w:t>博物馆工作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  <w:t>开展丰富多彩的图片展，春节期间举办了虎年生肖图片展览，10.1期间为了庆祝二大召开在城东广场举办湘西剿匪剪纸图片展、书画展。积极开展湘西剿匪史料陈列馆红色故事进校园、进社区活动。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  <w:t>常规工作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  <w:t>做好乡村振兴工作；做好综治维稳、安全生产工作；完成领导交办的其他工作。党规工作有续开展，上了一个新台阶。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635" w:firstLineChars="200"/>
        <w:jc w:val="both"/>
        <w:rPr>
          <w:rFonts w:hint="eastAsia" w:ascii="仿宋" w:hAnsi="仿宋" w:eastAsia="仿宋"/>
          <w:b/>
          <w:bCs/>
          <w:spacing w:val="-2"/>
          <w:sz w:val="32"/>
          <w:szCs w:val="32"/>
          <w:lang w:eastAsia="zh-CN"/>
        </w:rPr>
      </w:pPr>
      <w:r>
        <w:rPr>
          <w:rFonts w:ascii="仿宋" w:hAnsi="仿宋" w:eastAsia="仿宋"/>
          <w:b/>
          <w:bCs/>
          <w:spacing w:val="-2"/>
          <w:sz w:val="32"/>
          <w:szCs w:val="32"/>
        </w:rPr>
        <w:t>部门</w:t>
      </w:r>
      <w:r>
        <w:rPr>
          <w:rFonts w:hint="eastAsia" w:ascii="仿宋" w:hAnsi="仿宋" w:eastAsia="仿宋"/>
          <w:b/>
          <w:bCs/>
          <w:spacing w:val="-2"/>
          <w:sz w:val="32"/>
          <w:szCs w:val="32"/>
          <w:lang w:eastAsia="zh-CN"/>
        </w:rPr>
        <w:t>整体支出规模、使用方向和主要内容、涉及范围等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  <w:t>2022年度部门总支出294.83万元, 其中基本支出294.83万元，含人员支出193.83万元、公用支出101万元，基本支出主要是为保障单位机构正常运转、完成日常工作任务而发生的各项支出，如基本工资、绩效工资、津贴补贴、住房公积金、社会保障缴费等。项目支出0万元；上缴上级支出0万元；经营支出0万元；对附属单位补助支出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5" w:firstLineChars="200"/>
        <w:textAlignment w:val="auto"/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</w:pPr>
      <w:r>
        <w:rPr>
          <w:rFonts w:ascii="楷体" w:hAnsi="楷体" w:eastAsia="楷体"/>
          <w:b/>
          <w:spacing w:val="-2"/>
          <w:sz w:val="32"/>
          <w:szCs w:val="32"/>
        </w:rPr>
        <w:t>二、部门整体支出管理及使用情况</w:t>
      </w:r>
    </w:p>
    <w:p>
      <w:pPr>
        <w:widowControl/>
        <w:shd w:val="clear" w:color="auto" w:fill="FFFFFF"/>
        <w:spacing w:line="600" w:lineRule="atLeast"/>
        <w:ind w:firstLine="643"/>
        <w:rPr>
          <w:rFonts w:ascii="仿宋" w:hAnsi="仿宋" w:eastAsia="仿宋"/>
          <w:b/>
          <w:spacing w:val="-2"/>
          <w:sz w:val="32"/>
          <w:szCs w:val="32"/>
        </w:rPr>
      </w:pPr>
      <w:r>
        <w:rPr>
          <w:rFonts w:ascii="仿宋" w:hAnsi="仿宋" w:eastAsia="仿宋"/>
          <w:b/>
          <w:spacing w:val="-2"/>
          <w:sz w:val="32"/>
          <w:szCs w:val="32"/>
        </w:rPr>
        <w:t>（一）基本支出</w:t>
      </w:r>
    </w:p>
    <w:p>
      <w:pPr>
        <w:widowControl/>
        <w:shd w:val="clear" w:color="auto" w:fill="FFFFFF"/>
        <w:spacing w:line="600" w:lineRule="atLeast"/>
        <w:ind w:firstLine="643"/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  <w:t xml:space="preserve"> 2022年度，我单位基本支出294.83万元，其中：人员支出193.83万元，公用支出101万元。本部门2022年“三公”经费支出合计0.071元，完成年初预算的1.18%，较上年同期减少0.4万元，其中公务接待费0.071万元，完成年初预算的1.18%，较上年同期减少0.4万元。主要原因是本部门加强内部管理，采取规范财务报账制度和公务接待程序、推行公务卡结算制度、严格控制接待标准和陪餐人数等措施，有效控制了非必要公务接待开支的发生。本年度未发生公务用车运行和维护费支出和因公出国（境）费支出。主要原因是本单位无公车，严格落实厉行节约，进一步规范了三公经费使用管理，有效减少了三公经费支出。</w:t>
      </w:r>
    </w:p>
    <w:p>
      <w:pPr>
        <w:widowControl/>
        <w:shd w:val="clear" w:color="auto" w:fill="FFFFFF"/>
        <w:spacing w:line="600" w:lineRule="atLeast"/>
        <w:ind w:firstLine="643"/>
        <w:rPr>
          <w:rFonts w:ascii="仿宋" w:hAnsi="仿宋" w:eastAsia="仿宋"/>
          <w:b/>
          <w:spacing w:val="-2"/>
          <w:sz w:val="32"/>
          <w:szCs w:val="32"/>
        </w:rPr>
      </w:pPr>
      <w:r>
        <w:rPr>
          <w:rFonts w:ascii="仿宋" w:hAnsi="仿宋" w:eastAsia="仿宋"/>
          <w:b/>
          <w:spacing w:val="-2"/>
          <w:sz w:val="32"/>
          <w:szCs w:val="32"/>
        </w:rPr>
        <w:t>（</w:t>
      </w:r>
      <w:r>
        <w:rPr>
          <w:rFonts w:hint="eastAsia" w:ascii="仿宋" w:hAnsi="仿宋" w:eastAsia="仿宋"/>
          <w:b/>
          <w:spacing w:val="-2"/>
          <w:sz w:val="32"/>
          <w:szCs w:val="32"/>
          <w:lang w:eastAsia="zh-CN"/>
        </w:rPr>
        <w:t>二</w:t>
      </w:r>
      <w:r>
        <w:rPr>
          <w:rFonts w:ascii="仿宋" w:hAnsi="仿宋" w:eastAsia="仿宋"/>
          <w:b/>
          <w:spacing w:val="-2"/>
          <w:sz w:val="32"/>
          <w:szCs w:val="32"/>
        </w:rPr>
        <w:t>）</w:t>
      </w:r>
      <w:r>
        <w:rPr>
          <w:rFonts w:hint="eastAsia" w:ascii="仿宋" w:hAnsi="仿宋" w:eastAsia="仿宋"/>
          <w:b/>
          <w:spacing w:val="-2"/>
          <w:sz w:val="32"/>
          <w:szCs w:val="32"/>
          <w:lang w:eastAsia="zh-CN"/>
        </w:rPr>
        <w:t>专项</w:t>
      </w:r>
      <w:r>
        <w:rPr>
          <w:rFonts w:ascii="仿宋" w:hAnsi="仿宋" w:eastAsia="仿宋"/>
          <w:b/>
          <w:spacing w:val="-2"/>
          <w:sz w:val="32"/>
          <w:szCs w:val="32"/>
        </w:rPr>
        <w:t>支出</w:t>
      </w:r>
    </w:p>
    <w:p>
      <w:pPr>
        <w:widowControl/>
        <w:shd w:val="clear" w:color="auto" w:fill="FFFFFF"/>
        <w:spacing w:line="600" w:lineRule="atLeast"/>
        <w:ind w:firstLine="632" w:firstLineChars="200"/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pacing w:val="-2"/>
          <w:kern w:val="0"/>
          <w:sz w:val="32"/>
          <w:szCs w:val="32"/>
          <w:lang w:val="en-US" w:eastAsia="zh-CN" w:bidi="ar-SA"/>
        </w:rPr>
        <w:t>无</w:t>
      </w:r>
    </w:p>
    <w:p>
      <w:pPr>
        <w:widowControl/>
        <w:numPr>
          <w:numId w:val="0"/>
        </w:numPr>
        <w:shd w:val="clear" w:color="auto" w:fill="FFFFFF"/>
        <w:spacing w:line="600" w:lineRule="atLeast"/>
        <w:ind w:firstLine="635" w:firstLineChars="200"/>
        <w:rPr>
          <w:rFonts w:ascii="楷体" w:hAnsi="楷体" w:eastAsia="楷体"/>
          <w:b/>
          <w:spacing w:val="-2"/>
          <w:sz w:val="32"/>
          <w:szCs w:val="32"/>
        </w:rPr>
      </w:pPr>
      <w:r>
        <w:rPr>
          <w:rFonts w:hint="eastAsia" w:ascii="楷体" w:hAnsi="楷体" w:eastAsia="楷体"/>
          <w:b/>
          <w:spacing w:val="-2"/>
          <w:sz w:val="32"/>
          <w:szCs w:val="32"/>
          <w:lang w:eastAsia="zh-CN"/>
        </w:rPr>
        <w:t>三、</w:t>
      </w:r>
      <w:r>
        <w:rPr>
          <w:rFonts w:ascii="楷体" w:hAnsi="楷体" w:eastAsia="楷体"/>
          <w:b/>
          <w:spacing w:val="-2"/>
          <w:sz w:val="32"/>
          <w:szCs w:val="32"/>
        </w:rPr>
        <w:t>资产管理情况</w:t>
      </w:r>
    </w:p>
    <w:p>
      <w:pPr>
        <w:widowControl/>
        <w:numPr>
          <w:numId w:val="0"/>
        </w:numPr>
        <w:shd w:val="clear" w:color="auto" w:fill="FFFFFF"/>
        <w:spacing w:line="600" w:lineRule="atLeast"/>
        <w:ind w:firstLine="560" w:firstLineChars="200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我单位对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公共财产物资实行统一管理、统一调配，并按使用人建立了资产实物管理台账。对单位固定资产统一采购、多人经办，每月月初根据各部门的需求制订采购计划，实行多人经办、“货比三家”，并按政府采购程序和有关规定加强采购手续。年底对财产物资进行清查、盘点、核对、处理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对取得的资产实物及时进行会计核算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2022 年度，我单位配置固定资产 2.65 万元。从资产类别分析，配置土地、房屋及构筑物 0.52万元，占 19.63 %； 配置设备 2.13 万元，占 80.37 % 。从配置方式分析，新购 2.65 万元，占 100.00 %；调拨 0 万元，占 0.00 %；接受捐赠 0 万元，占 0.00 %；置换 0 万元，占 0.00 %；其他方式新增 0 万元，占 0.00 %。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2022 年 12月31 日， 我单位自用固定资产 350.53 万元，占账面固定资产总额的 100.00 %， 其中 : 在用 350.53万元，占账面固定资产总额的 100.00 % ；闲置 0 万元，占账面固定资产总额的 0.00 % ； 待处置（待报废、毁损等） 0 万元，占账面固定资产总额的 0.00 % 。自用无形资产 79.8 万元 ，占账面无形资产总额的 100.00% ；其中 在用 79.8 万元，占账面无形资产总额的 100.00 % 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numId w:val="0"/>
        </w:numPr>
        <w:spacing w:line="360" w:lineRule="auto"/>
        <w:ind w:left="640" w:leftChars="0"/>
        <w:jc w:val="left"/>
        <w:rPr>
          <w:rFonts w:hint="eastAsia" w:ascii="楷体" w:hAnsi="楷体" w:eastAsia="楷体"/>
          <w:b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b/>
          <w:spacing w:val="-2"/>
          <w:sz w:val="32"/>
          <w:szCs w:val="32"/>
          <w:highlight w:val="none"/>
          <w:lang w:eastAsia="zh-CN"/>
        </w:rPr>
        <w:t>四、</w:t>
      </w:r>
      <w:r>
        <w:rPr>
          <w:rFonts w:ascii="楷体" w:hAnsi="楷体" w:eastAsia="楷体"/>
          <w:b/>
          <w:spacing w:val="-2"/>
          <w:sz w:val="32"/>
          <w:szCs w:val="32"/>
          <w:highlight w:val="none"/>
        </w:rPr>
        <w:t>部门整体支出绩效情况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年，我单位积极履职，强化管理，较好的完成了年度工作目标。通过加强预算收支管理，不断建立健全内部管理制度，梳理内部管理流程，部门整体支出管理水平得到提升。根据部门整体支出绩效评价指标体系，我单位202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年度评价得分为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9</w:t>
      </w:r>
      <w:r>
        <w:rPr>
          <w:rFonts w:hint="eastAsia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分。部门整体支出绩效情况如下：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预算配置控制较好得1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分。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rightChars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在职人员控制率：在职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19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人/编制人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19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*100%=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100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%，得5分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rightChars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“三公”经费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变动率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≦0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，得5分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预算执行比较到位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得20分。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（1）预算完成率基本完成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得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（2）预算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控制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率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为0，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得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（3）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新建楼堂馆所面积控制率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未超过100%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，得5分。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（4）新建楼堂馆所投资概算控制率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未超过100%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，得5分。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预算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管理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较理想得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39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）公用经费控制率100%,得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“三公”经费控制率未超过100%，得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（3）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政府采购执行率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未超过100%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，得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（4）管理制度健全性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制定财务管理制度、政府采购制度、会计和出纳管理制度、公务接待制度，各种管理制度合法、合规、完整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，但执行率有待加强，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得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分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）资金使用合规性：资金的使用完全按照各种制度执行，得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）预决算信息公开性：按规定在县政府门户网站公开预决算信息，得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4、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职责履行完成情况较好</w:t>
      </w:r>
      <w:r>
        <w:rPr>
          <w:rFonts w:hint="eastAsia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得</w:t>
      </w:r>
      <w:r>
        <w:rPr>
          <w:rFonts w:hint="eastAsia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重点工作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实际完成率：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较好地完成了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绩效办对各部门为民办实事和部门重点工程与重点工作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，得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分。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560" w:firstLineChars="200"/>
        <w:jc w:val="both"/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履职效益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较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好，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得19分。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rightChars="0" w:firstLine="560" w:firstLineChars="200"/>
        <w:jc w:val="both"/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各种效益指标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基本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达到标准，符合民生要求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我单位社会经济效益指标得9分，行政效益得5分，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社会公众或服务对象满意度得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5分，我单位的各方面工作都得到社会大众的肯定和好评。</w:t>
      </w:r>
    </w:p>
    <w:p>
      <w:pPr>
        <w:widowControl/>
        <w:numPr>
          <w:numId w:val="0"/>
        </w:numPr>
        <w:shd w:val="clear" w:color="auto" w:fill="FFFFFF"/>
        <w:spacing w:line="600" w:lineRule="atLeast"/>
        <w:ind w:firstLine="635" w:firstLineChars="200"/>
        <w:rPr>
          <w:rFonts w:ascii="楷体" w:hAnsi="楷体" w:eastAsia="楷体"/>
          <w:b/>
          <w:spacing w:val="-2"/>
          <w:sz w:val="32"/>
          <w:szCs w:val="32"/>
        </w:rPr>
      </w:pPr>
      <w:r>
        <w:rPr>
          <w:rFonts w:hint="eastAsia" w:ascii="楷体" w:hAnsi="楷体" w:eastAsia="楷体"/>
          <w:b/>
          <w:spacing w:val="-2"/>
          <w:sz w:val="32"/>
          <w:szCs w:val="32"/>
          <w:lang w:eastAsia="zh-CN"/>
        </w:rPr>
        <w:t>五、</w:t>
      </w:r>
      <w:r>
        <w:rPr>
          <w:rFonts w:ascii="楷体" w:hAnsi="楷体" w:eastAsia="楷体"/>
          <w:b/>
          <w:spacing w:val="-2"/>
          <w:sz w:val="32"/>
          <w:szCs w:val="32"/>
        </w:rPr>
        <w:t>存在的主要问题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财务工作水平还需不断提高；财务管理工作水平有待进一步加强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2、对于绩效评价的认识不够深入，把预算绩效简单等同于工作目标、工作考核和业务管理</w:t>
      </w:r>
    </w:p>
    <w:p>
      <w:pPr>
        <w:widowControl/>
        <w:numPr>
          <w:ilvl w:val="0"/>
          <w:numId w:val="4"/>
        </w:numPr>
        <w:shd w:val="clear" w:color="auto" w:fill="FFFFFF"/>
        <w:spacing w:line="600" w:lineRule="atLeast"/>
        <w:ind w:firstLine="635" w:firstLineChars="200"/>
        <w:rPr>
          <w:rFonts w:ascii="楷体" w:hAnsi="楷体" w:eastAsia="楷体"/>
          <w:b/>
          <w:spacing w:val="-2"/>
          <w:sz w:val="32"/>
          <w:szCs w:val="32"/>
        </w:rPr>
      </w:pPr>
      <w:r>
        <w:rPr>
          <w:rFonts w:ascii="楷体" w:hAnsi="楷体" w:eastAsia="楷体"/>
          <w:b/>
          <w:spacing w:val="-2"/>
          <w:sz w:val="32"/>
          <w:szCs w:val="32"/>
        </w:rPr>
        <w:t>改进措施和有关建议</w:t>
      </w:r>
    </w:p>
    <w:p>
      <w:pPr>
        <w:numPr>
          <w:ilvl w:val="0"/>
          <w:numId w:val="5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健全单位财务管理制度体系，加强单位财务管理，规范单位财务行为。在费用报账支付时，按照预算规定的费用项目和用途进行资金使用审核、列报支付、财务核算。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加强财务人员的培训，提高预算编制的精确度，提高财政资金使用的效率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widowControl/>
        <w:numPr>
          <w:numId w:val="0"/>
        </w:numPr>
        <w:shd w:val="clear" w:color="auto" w:fill="FFFFFF"/>
        <w:spacing w:line="600" w:lineRule="atLeast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color w:val="3D3D3D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辰溪县非物质文化遗产保护中心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D3D3D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  2023年3月20日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DAD225"/>
    <w:multiLevelType w:val="singleLevel"/>
    <w:tmpl w:val="CDDAD22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1600C2"/>
    <w:multiLevelType w:val="singleLevel"/>
    <w:tmpl w:val="011600C2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0E0CC881"/>
    <w:multiLevelType w:val="singleLevel"/>
    <w:tmpl w:val="0E0CC88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A7ECB9C"/>
    <w:multiLevelType w:val="singleLevel"/>
    <w:tmpl w:val="2A7ECB9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504F53A"/>
    <w:multiLevelType w:val="singleLevel"/>
    <w:tmpl w:val="7504F5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ZGM3NGE0NTI0MTZiYTEwZGZhNzlmOWIxOTk5ODQifQ=="/>
  </w:docVars>
  <w:rsids>
    <w:rsidRoot w:val="39C138CB"/>
    <w:rsid w:val="3627310D"/>
    <w:rsid w:val="39C138CB"/>
    <w:rsid w:val="6A95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2462</Words>
  <Characters>2668</Characters>
  <Lines>0</Lines>
  <Paragraphs>0</Paragraphs>
  <TotalTime>3</TotalTime>
  <ScaleCrop>false</ScaleCrop>
  <LinksUpToDate>false</LinksUpToDate>
  <CharactersWithSpaces>2786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2023-03-20T07:10:00Z</dcterms:created>
  <dc:creator>如月之恒</dc:creator>
  <cp:lastModifiedBy>如月之恒</cp:lastModifiedBy>
  <dcterms:modified xsi:type="dcterms:W3CDTF">2023-03-20T08:52:26Z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90A43AC4688149E383F424A3BD6D1A06</vt:lpwstr>
  </property>
</Properties>
</file>