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40C" w:rsidRDefault="00022F2F">
      <w:pPr>
        <w:jc w:val="left"/>
        <w:rPr>
          <w:rFonts w:ascii="仿宋" w:eastAsia="仿宋" w:hAnsi="仿宋"/>
          <w:sz w:val="30"/>
          <w:szCs w:val="30"/>
        </w:rPr>
      </w:pPr>
      <w:r>
        <w:rPr>
          <w:rFonts w:ascii="仿宋" w:eastAsia="仿宋" w:hAnsi="仿宋" w:hint="eastAsia"/>
          <w:sz w:val="30"/>
          <w:szCs w:val="30"/>
        </w:rPr>
        <w:t>附件5</w:t>
      </w:r>
    </w:p>
    <w:p w:rsidR="00E0040C" w:rsidRDefault="009C17C1">
      <w:pPr>
        <w:jc w:val="center"/>
        <w:rPr>
          <w:rFonts w:ascii="仿宋" w:eastAsia="仿宋" w:hAnsi="仿宋"/>
          <w:sz w:val="36"/>
          <w:szCs w:val="36"/>
        </w:rPr>
      </w:pPr>
      <w:r>
        <w:rPr>
          <w:rFonts w:ascii="仿宋" w:eastAsia="仿宋" w:hAnsi="仿宋" w:hint="eastAsia"/>
          <w:sz w:val="36"/>
          <w:szCs w:val="36"/>
        </w:rPr>
        <w:t>2020</w:t>
      </w:r>
      <w:r w:rsidR="00022F2F">
        <w:rPr>
          <w:rFonts w:ascii="仿宋" w:eastAsia="仿宋" w:hAnsi="仿宋" w:hint="eastAsia"/>
          <w:sz w:val="36"/>
          <w:szCs w:val="36"/>
        </w:rPr>
        <w:t>年度部门整体支出绩效自评指标计分表</w:t>
      </w:r>
    </w:p>
    <w:tbl>
      <w:tblPr>
        <w:tblW w:w="9410" w:type="dxa"/>
        <w:tblInd w:w="-25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900"/>
        <w:gridCol w:w="1080"/>
        <w:gridCol w:w="1260"/>
        <w:gridCol w:w="900"/>
        <w:gridCol w:w="2377"/>
        <w:gridCol w:w="2121"/>
        <w:gridCol w:w="772"/>
      </w:tblGrid>
      <w:tr w:rsidR="00E0040C">
        <w:tc>
          <w:tcPr>
            <w:tcW w:w="900" w:type="dxa"/>
            <w:tcBorders>
              <w:top w:val="inset" w:sz="6" w:space="0" w:color="auto"/>
              <w:left w:val="inset" w:sz="6" w:space="0" w:color="auto"/>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一级</w:t>
            </w:r>
            <w:r>
              <w:rPr>
                <w:rFonts w:ascii="仿宋" w:eastAsia="仿宋" w:hAnsi="仿宋" w:hint="eastAsia"/>
                <w:sz w:val="24"/>
                <w:szCs w:val="24"/>
              </w:rPr>
              <w:br/>
              <w:t>指标</w:t>
            </w:r>
          </w:p>
        </w:tc>
        <w:tc>
          <w:tcPr>
            <w:tcW w:w="108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二级指标</w:t>
            </w:r>
          </w:p>
        </w:tc>
        <w:tc>
          <w:tcPr>
            <w:tcW w:w="126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三级指标</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自评分</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指标解释</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指标说明</w:t>
            </w:r>
          </w:p>
        </w:tc>
      </w:tr>
      <w:tr w:rsidR="00E0040C">
        <w:tc>
          <w:tcPr>
            <w:tcW w:w="900" w:type="dxa"/>
            <w:vMerge w:val="restart"/>
            <w:tcBorders>
              <w:top w:val="nil"/>
              <w:left w:val="inset" w:sz="6" w:space="0" w:color="auto"/>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 xml:space="preserve">投 </w:t>
            </w:r>
            <w:r>
              <w:rPr>
                <w:rFonts w:eastAsia="仿宋"/>
                <w:sz w:val="24"/>
                <w:szCs w:val="24"/>
              </w:rPr>
              <w:t xml:space="preserve">  </w:t>
            </w:r>
            <w:r>
              <w:rPr>
                <w:rFonts w:ascii="仿宋" w:eastAsia="仿宋" w:hAnsi="仿宋" w:hint="eastAsia"/>
                <w:sz w:val="24"/>
                <w:szCs w:val="24"/>
              </w:rPr>
              <w:t>入（20分）</w:t>
            </w:r>
          </w:p>
        </w:tc>
        <w:tc>
          <w:tcPr>
            <w:tcW w:w="1080" w:type="dxa"/>
            <w:vMerge w:val="restart"/>
            <w:tcBorders>
              <w:top w:val="nil"/>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目标</w:t>
            </w:r>
            <w:r>
              <w:rPr>
                <w:rFonts w:ascii="仿宋" w:eastAsia="仿宋" w:hAnsi="仿宋" w:hint="eastAsia"/>
                <w:sz w:val="24"/>
                <w:szCs w:val="24"/>
              </w:rPr>
              <w:br/>
              <w:t>设定（5分）</w:t>
            </w: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绩效目标合理性（2分）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2</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我局所设立的整体绩效目标依据符合国家法律法规、国民经济和社会发展总体规划，符合部门“三定”方案确定的职责，符合部门制定的中长期实施规划</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①符合国家法律法规、国民经济和社会发展总体规划计1分；②符合部门“三定”方案确定的职责计0.5分；③是否符合部门制定的中长期实施规划计0.5分。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绩效指标明确性（3分）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3</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我局依据整体绩效目标所设定的绩效指标细化分解为具体的工作任务，通过清晰、可衡量的指标值予以体现，与部门年度的任务数或计划数相对应，与本年度部门预算资金相匹配</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①将部门整体的绩效目标细化分解为具体的工作任务计1分；②通过清晰、可衡量的指标值予以体现计0.5分。③与部门年度的任务数或计划数相对应计0.5分；④与本年度部门预算资金相匹配计1分。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val="restart"/>
            <w:tcBorders>
              <w:top w:val="nil"/>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预算</w:t>
            </w:r>
            <w:r>
              <w:rPr>
                <w:rFonts w:ascii="仿宋" w:eastAsia="仿宋" w:hAnsi="仿宋" w:hint="eastAsia"/>
                <w:sz w:val="24"/>
                <w:szCs w:val="24"/>
              </w:rPr>
              <w:br/>
            </w:r>
            <w:r>
              <w:rPr>
                <w:rFonts w:ascii="仿宋" w:eastAsia="仿宋" w:hAnsi="仿宋" w:hint="eastAsia"/>
                <w:sz w:val="24"/>
                <w:szCs w:val="24"/>
              </w:rPr>
              <w:lastRenderedPageBreak/>
              <w:t>配置（15分）</w:t>
            </w: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lastRenderedPageBreak/>
              <w:t>在职人员控</w:t>
            </w:r>
            <w:r>
              <w:rPr>
                <w:rFonts w:ascii="仿宋" w:eastAsia="仿宋" w:hAnsi="仿宋" w:hint="eastAsia"/>
                <w:sz w:val="24"/>
                <w:szCs w:val="24"/>
              </w:rPr>
              <w:lastRenderedPageBreak/>
              <w:t>制率（5分）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lastRenderedPageBreak/>
              <w:t>3</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在职人员控制率为</w:t>
            </w:r>
            <w:r>
              <w:rPr>
                <w:rFonts w:ascii="仿宋" w:eastAsia="仿宋" w:hAnsi="仿宋" w:hint="eastAsia"/>
                <w:sz w:val="24"/>
                <w:szCs w:val="24"/>
              </w:rPr>
              <w:lastRenderedPageBreak/>
              <w:t>117.65%</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lastRenderedPageBreak/>
              <w:t>在职人员控制率=（在职人</w:t>
            </w:r>
            <w:r>
              <w:rPr>
                <w:rFonts w:ascii="仿宋" w:eastAsia="仿宋" w:hAnsi="仿宋" w:hint="eastAsia"/>
                <w:sz w:val="24"/>
                <w:szCs w:val="24"/>
              </w:rPr>
              <w:lastRenderedPageBreak/>
              <w:t>员数/编制数）×100%小于或等于1计5分，否则按比例计分。在职人员数：部门实际在职人数，以财政部确定的部门决算编制口径为准。编制数：机构编制部门核定批复的部门的人员编制数。</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“三公经费”</w:t>
            </w:r>
          </w:p>
          <w:p w:rsidR="00E0040C" w:rsidRDefault="00022F2F">
            <w:pPr>
              <w:rPr>
                <w:rFonts w:ascii="仿宋" w:eastAsia="仿宋" w:hAnsi="仿宋"/>
                <w:sz w:val="24"/>
                <w:szCs w:val="24"/>
              </w:rPr>
            </w:pPr>
            <w:r>
              <w:rPr>
                <w:rFonts w:ascii="仿宋" w:eastAsia="仿宋" w:hAnsi="仿宋" w:hint="eastAsia"/>
                <w:sz w:val="24"/>
                <w:szCs w:val="24"/>
              </w:rPr>
              <w:t>变动率（5分）</w:t>
            </w:r>
          </w:p>
        </w:tc>
        <w:tc>
          <w:tcPr>
            <w:tcW w:w="900" w:type="dxa"/>
            <w:tcBorders>
              <w:top w:val="inset" w:sz="6" w:space="0" w:color="auto"/>
              <w:left w:val="nil"/>
              <w:bottom w:val="inset" w:sz="6" w:space="0" w:color="auto"/>
              <w:right w:val="inset" w:sz="6" w:space="0" w:color="auto"/>
            </w:tcBorders>
            <w:vAlign w:val="center"/>
          </w:tcPr>
          <w:p w:rsidR="00E0040C" w:rsidRDefault="00701B44">
            <w:pPr>
              <w:jc w:val="center"/>
              <w:rPr>
                <w:rFonts w:ascii="仿宋" w:eastAsia="仿宋" w:hAnsi="仿宋"/>
                <w:sz w:val="24"/>
                <w:szCs w:val="24"/>
              </w:rPr>
            </w:pPr>
            <w:r>
              <w:rPr>
                <w:rFonts w:ascii="仿宋" w:eastAsia="仿宋" w:hAnsi="仿宋" w:hint="eastAsia"/>
                <w:sz w:val="24"/>
                <w:szCs w:val="24"/>
              </w:rPr>
              <w:t>5</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我局三公经费变动率为</w:t>
            </w:r>
            <w:r w:rsidR="00701B44">
              <w:rPr>
                <w:rFonts w:ascii="仿宋" w:eastAsia="仿宋" w:hAnsi="仿宋" w:hint="eastAsia"/>
                <w:sz w:val="24"/>
                <w:szCs w:val="24"/>
              </w:rPr>
              <w:t>-2.62%（下降</w:t>
            </w:r>
            <w:r>
              <w:rPr>
                <w:rFonts w:ascii="仿宋" w:eastAsia="仿宋" w:hAnsi="仿宋" w:hint="eastAsia"/>
                <w:sz w:val="24"/>
                <w:szCs w:val="24"/>
              </w:rPr>
              <w:t>）</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三公经费”变动率=[（本年度“三公经费”总额-上年度“三公经费”总额）/上年度“三公经费”总额]×100%。下降的计5分，增加的按比例扣减。“三公经费”：年度预算安排的因公出国（境）费、公务车辆购置及运行费和公务招待费。</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重点支出安排率（5分）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5</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我局重点支出安排率为100%</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重点支出安排率=（重点项目支出/项目总支出）×100%。实际得分=支出安排率*5分。重点项目支出：部门年度预算安排的，与本部门履职和发展密切相关、具</w:t>
            </w:r>
            <w:r>
              <w:rPr>
                <w:rFonts w:ascii="仿宋" w:eastAsia="仿宋" w:hAnsi="仿宋" w:hint="eastAsia"/>
                <w:sz w:val="24"/>
                <w:szCs w:val="24"/>
              </w:rPr>
              <w:lastRenderedPageBreak/>
              <w:t>有明显社会和经济影响、党委政府关心或社会比较关注的项目支出总额。项目总支出：部门年度预算安排的项目支出总额。</w:t>
            </w:r>
          </w:p>
        </w:tc>
      </w:tr>
      <w:tr w:rsidR="00E0040C">
        <w:tc>
          <w:tcPr>
            <w:tcW w:w="900" w:type="dxa"/>
            <w:vMerge w:val="restart"/>
            <w:tcBorders>
              <w:top w:val="nil"/>
              <w:left w:val="inset" w:sz="6" w:space="0" w:color="auto"/>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lastRenderedPageBreak/>
              <w:t xml:space="preserve">过 </w:t>
            </w:r>
            <w:r>
              <w:rPr>
                <w:rFonts w:ascii="宋体" w:hAnsi="宋体" w:hint="eastAsia"/>
                <w:sz w:val="24"/>
                <w:szCs w:val="24"/>
              </w:rPr>
              <w:t xml:space="preserve">            </w:t>
            </w:r>
            <w:r>
              <w:rPr>
                <w:rFonts w:ascii="仿宋" w:eastAsia="仿宋" w:hAnsi="仿宋" w:hint="eastAsia"/>
                <w:sz w:val="24"/>
                <w:szCs w:val="24"/>
              </w:rPr>
              <w:t>程（30分）</w:t>
            </w:r>
          </w:p>
        </w:tc>
        <w:tc>
          <w:tcPr>
            <w:tcW w:w="1080" w:type="dxa"/>
            <w:vMerge w:val="restart"/>
            <w:tcBorders>
              <w:top w:val="nil"/>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预算</w:t>
            </w:r>
            <w:r>
              <w:rPr>
                <w:rFonts w:ascii="仿宋" w:eastAsia="仿宋" w:hAnsi="仿宋" w:hint="eastAsia"/>
                <w:sz w:val="24"/>
                <w:szCs w:val="24"/>
              </w:rPr>
              <w:br/>
              <w:t>执行</w:t>
            </w:r>
          </w:p>
          <w:p w:rsidR="00E0040C" w:rsidRDefault="00022F2F">
            <w:pPr>
              <w:rPr>
                <w:rFonts w:ascii="仿宋" w:eastAsia="仿宋" w:hAnsi="仿宋"/>
                <w:sz w:val="24"/>
                <w:szCs w:val="24"/>
              </w:rPr>
            </w:pPr>
            <w:r>
              <w:rPr>
                <w:rFonts w:ascii="仿宋" w:eastAsia="仿宋" w:hAnsi="仿宋" w:hint="eastAsia"/>
                <w:sz w:val="24"/>
                <w:szCs w:val="24"/>
              </w:rPr>
              <w:t>（20分）</w:t>
            </w: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预算完成率（4分）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4</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我局预算完成率为100%，基本完成全年预算目标</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预算完成率=（预算完成数/预算数）×100%。完成年初预算计4分，未完成年初预算按比例扣减，预算完成数：部门本年度实际完成的预算数。预算数：财政部门批复的本年度部门预算数。</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预算调整率（2分）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2</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我局预算调整率为100%，未涉及预算的追加、追减或结构调整</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支付进度率（2分）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2</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我局支付进度率为100%</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E0040C">
        <w:trPr>
          <w:gridAfter w:val="1"/>
          <w:wAfter w:w="772" w:type="dxa"/>
        </w:trPr>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结转结余控制率（4分）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4</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我局结转结余控制率为4.62%</w:t>
            </w:r>
          </w:p>
        </w:tc>
        <w:tc>
          <w:tcPr>
            <w:tcW w:w="2121"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结转结余控制率=（本年结转结余总额-上年结转结余总额）/上年结转结余总额×100%。低于15%的计4分，每超过5个百分点扣1分，扣完为止。结转</w:t>
            </w:r>
            <w:r>
              <w:rPr>
                <w:rFonts w:ascii="仿宋" w:eastAsia="仿宋" w:hAnsi="仿宋" w:hint="eastAsia"/>
                <w:sz w:val="24"/>
                <w:szCs w:val="24"/>
              </w:rPr>
              <w:lastRenderedPageBreak/>
              <w:t>结余总额：部门本年度的结转资金与结余资金之和（以决算数为准）。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公用经费</w:t>
            </w:r>
          </w:p>
          <w:p w:rsidR="00E0040C" w:rsidRDefault="00022F2F">
            <w:pPr>
              <w:rPr>
                <w:rFonts w:ascii="仿宋" w:eastAsia="仿宋" w:hAnsi="仿宋"/>
                <w:sz w:val="24"/>
                <w:szCs w:val="24"/>
              </w:rPr>
            </w:pPr>
            <w:r>
              <w:rPr>
                <w:rFonts w:ascii="仿宋" w:eastAsia="仿宋" w:hAnsi="仿宋" w:hint="eastAsia"/>
                <w:sz w:val="24"/>
                <w:szCs w:val="24"/>
              </w:rPr>
              <w:t>控制率（2分）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2</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我局公用经费控制率为100%</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公用经费控制率=（实际支出公用经费总额/预算安排公用经费总额）×100%。为100%的计2分，每超过1个百分点扣0.1分，扣完为止。</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“三公经费”控制率（2分）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2</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我局三公经费控制率为100%</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“三公经费”控制率=（“三公经费”实际支出数/“三公经费”预算安排数）×100%。为100%的计2分，每超过1个百分点扣0.5分，扣完为止。</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政府采购</w:t>
            </w:r>
          </w:p>
          <w:p w:rsidR="00E0040C" w:rsidRDefault="00022F2F">
            <w:pPr>
              <w:rPr>
                <w:rFonts w:ascii="仿宋" w:eastAsia="仿宋" w:hAnsi="仿宋"/>
                <w:sz w:val="24"/>
                <w:szCs w:val="24"/>
              </w:rPr>
            </w:pPr>
            <w:r>
              <w:rPr>
                <w:rFonts w:ascii="仿宋" w:eastAsia="仿宋" w:hAnsi="仿宋" w:hint="eastAsia"/>
                <w:sz w:val="24"/>
                <w:szCs w:val="24"/>
              </w:rPr>
              <w:t>执行率（4分）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4</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我局政府采购执行率为100%</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政府采购执行率=（实际政府采购金额/政府采购预算数）×100%，为100%的计2分，每低于1个百分点扣0.5分，扣完为止；政府采购预算：采购机关根据事业</w:t>
            </w:r>
            <w:r>
              <w:rPr>
                <w:rFonts w:ascii="仿宋" w:eastAsia="仿宋" w:hAnsi="仿宋" w:hint="eastAsia"/>
                <w:sz w:val="24"/>
                <w:szCs w:val="24"/>
              </w:rPr>
              <w:lastRenderedPageBreak/>
              <w:t>发展计划和行政任务编制的、并经过规定程序批准的年度政府采购计划。</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val="restart"/>
            <w:tcBorders>
              <w:top w:val="nil"/>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预算</w:t>
            </w:r>
          </w:p>
          <w:p w:rsidR="00E0040C" w:rsidRDefault="00022F2F">
            <w:pPr>
              <w:rPr>
                <w:rFonts w:ascii="仿宋" w:eastAsia="仿宋" w:hAnsi="仿宋"/>
                <w:sz w:val="24"/>
                <w:szCs w:val="24"/>
              </w:rPr>
            </w:pPr>
            <w:r>
              <w:rPr>
                <w:rFonts w:ascii="仿宋" w:eastAsia="仿宋" w:hAnsi="仿宋" w:hint="eastAsia"/>
                <w:sz w:val="24"/>
                <w:szCs w:val="24"/>
              </w:rPr>
              <w:t>管理</w:t>
            </w:r>
          </w:p>
          <w:p w:rsidR="00E0040C" w:rsidRDefault="00022F2F">
            <w:pPr>
              <w:rPr>
                <w:rFonts w:ascii="仿宋" w:eastAsia="仿宋" w:hAnsi="仿宋"/>
                <w:sz w:val="24"/>
                <w:szCs w:val="24"/>
              </w:rPr>
            </w:pPr>
            <w:r>
              <w:rPr>
                <w:rFonts w:ascii="仿宋" w:eastAsia="仿宋" w:hAnsi="仿宋" w:hint="eastAsia"/>
                <w:sz w:val="24"/>
                <w:szCs w:val="24"/>
              </w:rPr>
              <w:t>（5分）</w:t>
            </w: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管理制度</w:t>
            </w:r>
          </w:p>
          <w:p w:rsidR="00E0040C" w:rsidRDefault="00022F2F">
            <w:pPr>
              <w:rPr>
                <w:rFonts w:ascii="仿宋" w:eastAsia="仿宋" w:hAnsi="仿宋"/>
                <w:sz w:val="24"/>
                <w:szCs w:val="24"/>
              </w:rPr>
            </w:pPr>
            <w:r>
              <w:rPr>
                <w:rFonts w:ascii="仿宋" w:eastAsia="仿宋" w:hAnsi="仿宋" w:hint="eastAsia"/>
                <w:sz w:val="24"/>
                <w:szCs w:val="24"/>
              </w:rPr>
              <w:t>健全性（2分）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2</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我局已制定或具有预算资金管理办法、内部财务管理制度、会计核算制度等管理制度，相关管理制度合法、合规、完整，</w:t>
            </w:r>
            <w:r>
              <w:rPr>
                <w:rFonts w:ascii="仿宋" w:eastAsia="仿宋" w:hAnsi="仿宋"/>
                <w:sz w:val="24"/>
                <w:szCs w:val="24"/>
              </w:rPr>
              <w:t xml:space="preserve"> </w:t>
            </w:r>
            <w:r>
              <w:rPr>
                <w:rFonts w:ascii="仿宋" w:eastAsia="仿宋" w:hAnsi="仿宋" w:hint="eastAsia"/>
                <w:sz w:val="24"/>
                <w:szCs w:val="24"/>
              </w:rPr>
              <w:t>相关管理制度得到有效执行</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已制定或具有预算资金管理办法、内部财务管理制度、会计核算制度等管理制度计1分；相关管理制度合法、合规、完整计0.5分；相关管理制度得到有效执行计0.5分。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资金使用</w:t>
            </w:r>
          </w:p>
          <w:p w:rsidR="00E0040C" w:rsidRDefault="00022F2F">
            <w:pPr>
              <w:rPr>
                <w:rFonts w:ascii="仿宋" w:eastAsia="仿宋" w:hAnsi="仿宋"/>
                <w:sz w:val="24"/>
                <w:szCs w:val="24"/>
              </w:rPr>
            </w:pPr>
            <w:r>
              <w:rPr>
                <w:rFonts w:ascii="仿宋" w:eastAsia="仿宋" w:hAnsi="仿宋" w:hint="eastAsia"/>
                <w:sz w:val="24"/>
                <w:szCs w:val="24"/>
              </w:rPr>
              <w:t>合规性（1分）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1</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使用预算资金符合国家财经法规和财务管理制度规定以及有关专项资金管理办法的规定，资金的拨付有完整的审批程序和手续，项目的重大开支经过评估论证，符合部门预算批复的用途，不存在截留、挤占、挪用、虚列支出等情况</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预决算信</w:t>
            </w:r>
          </w:p>
          <w:p w:rsidR="00E0040C" w:rsidRDefault="00022F2F">
            <w:pPr>
              <w:rPr>
                <w:rFonts w:ascii="仿宋" w:eastAsia="仿宋" w:hAnsi="仿宋"/>
                <w:sz w:val="24"/>
                <w:szCs w:val="24"/>
              </w:rPr>
            </w:pPr>
            <w:r>
              <w:rPr>
                <w:rFonts w:ascii="仿宋" w:eastAsia="仿宋" w:hAnsi="仿宋" w:hint="eastAsia"/>
                <w:sz w:val="24"/>
                <w:szCs w:val="24"/>
              </w:rPr>
              <w:lastRenderedPageBreak/>
              <w:t>息公开性（1分）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lastRenderedPageBreak/>
              <w:t>1</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我局按规定内容公开</w:t>
            </w:r>
            <w:r>
              <w:rPr>
                <w:rFonts w:ascii="仿宋" w:eastAsia="仿宋" w:hAnsi="仿宋" w:hint="eastAsia"/>
                <w:sz w:val="24"/>
                <w:szCs w:val="24"/>
              </w:rPr>
              <w:lastRenderedPageBreak/>
              <w:t>预决算信息，按规定时限公开预决算信息</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lastRenderedPageBreak/>
              <w:t>①按规定内容公开预决算</w:t>
            </w:r>
            <w:r>
              <w:rPr>
                <w:rFonts w:ascii="仿宋" w:eastAsia="仿宋" w:hAnsi="仿宋" w:hint="eastAsia"/>
                <w:sz w:val="24"/>
                <w:szCs w:val="24"/>
              </w:rPr>
              <w:lastRenderedPageBreak/>
              <w:t>信息计0.5分；②按规定时限公开预决算信息计0.5分。预决算信息是指与部门预算、执行、决算、监督、绩效等管理相关的信息。</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基础信息</w:t>
            </w:r>
          </w:p>
          <w:p w:rsidR="00E0040C" w:rsidRDefault="00022F2F">
            <w:pPr>
              <w:rPr>
                <w:rFonts w:ascii="仿宋" w:eastAsia="仿宋" w:hAnsi="仿宋"/>
                <w:sz w:val="24"/>
                <w:szCs w:val="24"/>
              </w:rPr>
            </w:pPr>
            <w:r>
              <w:rPr>
                <w:rFonts w:ascii="仿宋" w:eastAsia="仿宋" w:hAnsi="仿宋" w:hint="eastAsia"/>
                <w:sz w:val="24"/>
                <w:szCs w:val="24"/>
              </w:rPr>
              <w:t>完善性（1分）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1</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我局基础数据信息和会计信息资料真实，基础数据信息和会计信息资料完整，基础数据信息和会计信息资料准确</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①基础数据信息和会计信息资料真实计0.4分；②基础数据信息和会计信息资料完整计0.3分；③基础数据信息和会计信息资料准确计0.3分。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val="restart"/>
            <w:tcBorders>
              <w:top w:val="nil"/>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资产</w:t>
            </w:r>
            <w:r>
              <w:rPr>
                <w:rFonts w:ascii="仿宋" w:eastAsia="仿宋" w:hAnsi="仿宋" w:hint="eastAsia"/>
                <w:sz w:val="24"/>
                <w:szCs w:val="24"/>
              </w:rPr>
              <w:br/>
              <w:t>管理</w:t>
            </w:r>
          </w:p>
          <w:p w:rsidR="00E0040C" w:rsidRDefault="00022F2F">
            <w:pPr>
              <w:rPr>
                <w:rFonts w:ascii="仿宋" w:eastAsia="仿宋" w:hAnsi="仿宋"/>
                <w:sz w:val="24"/>
                <w:szCs w:val="24"/>
              </w:rPr>
            </w:pPr>
            <w:r>
              <w:rPr>
                <w:rFonts w:ascii="仿宋" w:eastAsia="仿宋" w:hAnsi="仿宋" w:hint="eastAsia"/>
                <w:sz w:val="24"/>
                <w:szCs w:val="24"/>
              </w:rPr>
              <w:t>（5分）</w:t>
            </w: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管理制度</w:t>
            </w:r>
          </w:p>
          <w:p w:rsidR="00E0040C" w:rsidRDefault="00022F2F">
            <w:pPr>
              <w:rPr>
                <w:rFonts w:ascii="仿宋" w:eastAsia="仿宋" w:hAnsi="仿宋"/>
                <w:sz w:val="24"/>
                <w:szCs w:val="24"/>
              </w:rPr>
            </w:pPr>
            <w:r>
              <w:rPr>
                <w:rFonts w:ascii="仿宋" w:eastAsia="仿宋" w:hAnsi="仿宋" w:hint="eastAsia"/>
                <w:sz w:val="24"/>
                <w:szCs w:val="24"/>
              </w:rPr>
              <w:t>健全性（2分）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2</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我局制定或具有资产管理制度，相关资金管理制度合法、合规、完整，相关资产管理制度得到有效执行</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①制定或具有资产管理制度计1分；②相关资金管理制度合法、合规、完整计0.5分；③相关资产管理制度得到有效执行计0.5分。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资产管理</w:t>
            </w:r>
          </w:p>
          <w:p w:rsidR="00E0040C" w:rsidRDefault="00022F2F">
            <w:pPr>
              <w:rPr>
                <w:rFonts w:ascii="仿宋" w:eastAsia="仿宋" w:hAnsi="仿宋"/>
                <w:sz w:val="24"/>
                <w:szCs w:val="24"/>
              </w:rPr>
            </w:pPr>
            <w:r>
              <w:rPr>
                <w:rFonts w:ascii="仿宋" w:eastAsia="仿宋" w:hAnsi="仿宋" w:hint="eastAsia"/>
                <w:sz w:val="24"/>
                <w:szCs w:val="24"/>
              </w:rPr>
              <w:t>安全性（2分）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2</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我局资产保存完整，资产配置合理，资产处置规范，资产账务管理合规、帐实相符，资产有偿使用及处置收入及时足额上缴</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①资产保存完整计0.4分；②资产配置合理计0.4分；③资产处置规范计0.4分；④资产账务管理合规、帐实相符计0.4分；⑤资产有偿使用及处置收入及时足额</w:t>
            </w:r>
            <w:r>
              <w:rPr>
                <w:rFonts w:ascii="仿宋" w:eastAsia="仿宋" w:hAnsi="仿宋" w:hint="eastAsia"/>
                <w:sz w:val="24"/>
                <w:szCs w:val="24"/>
              </w:rPr>
              <w:lastRenderedPageBreak/>
              <w:t>上缴计0.4分。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固定资产</w:t>
            </w:r>
          </w:p>
          <w:p w:rsidR="00E0040C" w:rsidRDefault="00022F2F">
            <w:pPr>
              <w:rPr>
                <w:rFonts w:ascii="仿宋" w:eastAsia="仿宋" w:hAnsi="仿宋"/>
                <w:sz w:val="24"/>
                <w:szCs w:val="24"/>
              </w:rPr>
            </w:pPr>
            <w:r>
              <w:rPr>
                <w:rFonts w:ascii="仿宋" w:eastAsia="仿宋" w:hAnsi="仿宋" w:hint="eastAsia"/>
                <w:sz w:val="24"/>
                <w:szCs w:val="24"/>
              </w:rPr>
              <w:t>利用率（1分）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1</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我局固定资产利用率为100%</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固定资产利用率=（实际在用固定资产总额/所有固定资产总额）×100%。利用率为100%的计1分，每降1个百分点扣0.1分，扣完为止。</w:t>
            </w:r>
          </w:p>
        </w:tc>
      </w:tr>
      <w:tr w:rsidR="00E0040C">
        <w:tc>
          <w:tcPr>
            <w:tcW w:w="900" w:type="dxa"/>
            <w:vMerge w:val="restart"/>
            <w:tcBorders>
              <w:top w:val="nil"/>
              <w:left w:val="inset" w:sz="6" w:space="0" w:color="auto"/>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 xml:space="preserve">产 </w:t>
            </w:r>
            <w:r>
              <w:rPr>
                <w:rFonts w:ascii="宋体" w:hAnsi="宋体" w:hint="eastAsia"/>
                <w:sz w:val="24"/>
                <w:szCs w:val="24"/>
              </w:rPr>
              <w:t xml:space="preserve">  </w:t>
            </w:r>
            <w:r>
              <w:rPr>
                <w:rFonts w:ascii="仿宋" w:eastAsia="仿宋" w:hAnsi="仿宋" w:hint="eastAsia"/>
                <w:sz w:val="24"/>
                <w:szCs w:val="24"/>
              </w:rPr>
              <w:t>出（30分）</w:t>
            </w:r>
          </w:p>
        </w:tc>
        <w:tc>
          <w:tcPr>
            <w:tcW w:w="1080" w:type="dxa"/>
            <w:vMerge w:val="restart"/>
            <w:tcBorders>
              <w:top w:val="nil"/>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职责</w:t>
            </w:r>
            <w:r>
              <w:rPr>
                <w:rFonts w:ascii="仿宋" w:eastAsia="仿宋" w:hAnsi="仿宋" w:hint="eastAsia"/>
                <w:sz w:val="24"/>
                <w:szCs w:val="24"/>
              </w:rPr>
              <w:br/>
              <w:t>履行</w:t>
            </w: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实际完成率（8分）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8</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w:t>
            </w:r>
            <w:r w:rsidR="009C17C1">
              <w:rPr>
                <w:rFonts w:ascii="仿宋" w:eastAsia="仿宋" w:hAnsi="仿宋" w:hint="eastAsia"/>
                <w:sz w:val="24"/>
                <w:szCs w:val="24"/>
              </w:rPr>
              <w:t>2020年度绩效考核被评为良好</w:t>
            </w:r>
            <w:r>
              <w:rPr>
                <w:rFonts w:ascii="仿宋" w:eastAsia="仿宋" w:hAnsi="仿宋" w:hint="eastAsia"/>
                <w:sz w:val="24"/>
                <w:szCs w:val="24"/>
              </w:rPr>
              <w:t>单位</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实际完成率得分=完成市委市政府绩效考核得分或上级主管部门考核指标得分/指标分值*8分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完成及时率（4分）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4</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我局完成及时率为100%</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完成及时率=（及时完成实际工作数/计划工作数）×100%。1-4季度各得1分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质量达标率（8分）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8</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我局质量达标率为100%</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质量达标率=（质量达标实际工作数/计划工作数）×100%。实际得分=达标率*8分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重点工作</w:t>
            </w:r>
          </w:p>
          <w:p w:rsidR="00E0040C" w:rsidRDefault="00022F2F">
            <w:pPr>
              <w:rPr>
                <w:rFonts w:ascii="仿宋" w:eastAsia="仿宋" w:hAnsi="仿宋"/>
                <w:sz w:val="24"/>
                <w:szCs w:val="24"/>
              </w:rPr>
            </w:pPr>
            <w:r>
              <w:rPr>
                <w:rFonts w:ascii="仿宋" w:eastAsia="仿宋" w:hAnsi="仿宋" w:hint="eastAsia"/>
                <w:sz w:val="24"/>
                <w:szCs w:val="24"/>
              </w:rPr>
              <w:t>办结率（10分）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10</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我局重点工作办结率为100%</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重点工作办结率=（重点工作实际完成数/交办或下达数）×100%。实际得分=办</w:t>
            </w:r>
            <w:r>
              <w:rPr>
                <w:rFonts w:ascii="仿宋" w:eastAsia="仿宋" w:hAnsi="仿宋" w:hint="eastAsia"/>
                <w:sz w:val="24"/>
                <w:szCs w:val="24"/>
              </w:rPr>
              <w:lastRenderedPageBreak/>
              <w:t>结率*10分</w:t>
            </w:r>
          </w:p>
        </w:tc>
      </w:tr>
      <w:tr w:rsidR="00E0040C">
        <w:tc>
          <w:tcPr>
            <w:tcW w:w="900" w:type="dxa"/>
            <w:vMerge w:val="restart"/>
            <w:tcBorders>
              <w:top w:val="nil"/>
              <w:left w:val="inset" w:sz="6" w:space="0" w:color="auto"/>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lastRenderedPageBreak/>
              <w:t xml:space="preserve">效 </w:t>
            </w:r>
            <w:r>
              <w:rPr>
                <w:rFonts w:ascii="宋体" w:hAnsi="宋体" w:hint="eastAsia"/>
                <w:sz w:val="24"/>
                <w:szCs w:val="24"/>
              </w:rPr>
              <w:t xml:space="preserve">  </w:t>
            </w:r>
            <w:r>
              <w:rPr>
                <w:rFonts w:ascii="仿宋" w:eastAsia="仿宋" w:hAnsi="仿宋" w:hint="eastAsia"/>
                <w:sz w:val="24"/>
                <w:szCs w:val="24"/>
              </w:rPr>
              <w:t>果（20分）</w:t>
            </w:r>
          </w:p>
        </w:tc>
        <w:tc>
          <w:tcPr>
            <w:tcW w:w="1080" w:type="dxa"/>
            <w:vMerge w:val="restart"/>
            <w:tcBorders>
              <w:top w:val="nil"/>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履职</w:t>
            </w:r>
            <w:r>
              <w:rPr>
                <w:rFonts w:ascii="仿宋" w:eastAsia="仿宋" w:hAnsi="仿宋" w:hint="eastAsia"/>
                <w:sz w:val="24"/>
                <w:szCs w:val="24"/>
              </w:rPr>
              <w:br/>
              <w:t>效益（20分）</w:t>
            </w: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经济效益（5分）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5</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我局制定的各项政策推动了全县经济健康发展</w:t>
            </w:r>
          </w:p>
        </w:tc>
        <w:tc>
          <w:tcPr>
            <w:tcW w:w="2893" w:type="dxa"/>
            <w:gridSpan w:val="2"/>
            <w:vMerge w:val="restart"/>
            <w:tcBorders>
              <w:top w:val="nil"/>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按经济效益实现程度计算得分（5分）；按社会效益实现程度计算得分（5分）；按生态效益实现程度计算得分（5分）</w:t>
            </w: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社会效益（5分）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5</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我局制定的各项政策推动了社会各项事业的健康发展</w:t>
            </w:r>
          </w:p>
        </w:tc>
        <w:tc>
          <w:tcPr>
            <w:tcW w:w="2893" w:type="dxa"/>
            <w:gridSpan w:val="2"/>
            <w:vMerge/>
            <w:tcBorders>
              <w:top w:val="nil"/>
              <w:left w:val="nil"/>
              <w:bottom w:val="inset" w:sz="6" w:space="0" w:color="auto"/>
              <w:right w:val="inset" w:sz="6" w:space="0" w:color="auto"/>
            </w:tcBorders>
            <w:vAlign w:val="center"/>
          </w:tcPr>
          <w:p w:rsidR="00E0040C" w:rsidRDefault="00E0040C">
            <w:pPr>
              <w:widowControl/>
              <w:jc w:val="center"/>
              <w:rPr>
                <w:rFonts w:ascii="仿宋" w:eastAsia="仿宋" w:hAnsi="仿宋"/>
                <w:sz w:val="24"/>
                <w:szCs w:val="24"/>
              </w:rPr>
            </w:pP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生态效益（5分）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5</w:t>
            </w:r>
          </w:p>
        </w:tc>
        <w:tc>
          <w:tcPr>
            <w:tcW w:w="2377" w:type="dxa"/>
            <w:tcBorders>
              <w:top w:val="inset" w:sz="6" w:space="0" w:color="auto"/>
              <w:left w:val="nil"/>
              <w:bottom w:val="inset" w:sz="6" w:space="0" w:color="auto"/>
              <w:right w:val="inset" w:sz="6" w:space="0" w:color="auto"/>
            </w:tcBorders>
            <w:vAlign w:val="center"/>
          </w:tcPr>
          <w:p w:rsidR="00E0040C" w:rsidRDefault="00022F2F" w:rsidP="00022F2F">
            <w:pPr>
              <w:jc w:val="center"/>
              <w:rPr>
                <w:rFonts w:ascii="仿宋" w:eastAsia="仿宋" w:hAnsi="仿宋"/>
                <w:sz w:val="24"/>
                <w:szCs w:val="24"/>
              </w:rPr>
            </w:pPr>
            <w:r>
              <w:rPr>
                <w:rFonts w:ascii="仿宋" w:eastAsia="仿宋" w:hAnsi="仿宋" w:hint="eastAsia"/>
                <w:sz w:val="24"/>
                <w:szCs w:val="24"/>
              </w:rPr>
              <w:t>我局制定的各项政策推动了生态文明建设和改革，协调生态环境保护与修复、能源资源节约和综合利用等</w:t>
            </w:r>
          </w:p>
        </w:tc>
        <w:tc>
          <w:tcPr>
            <w:tcW w:w="2893" w:type="dxa"/>
            <w:gridSpan w:val="2"/>
            <w:vMerge/>
            <w:tcBorders>
              <w:top w:val="nil"/>
              <w:left w:val="nil"/>
              <w:bottom w:val="inset" w:sz="6" w:space="0" w:color="auto"/>
              <w:right w:val="inset" w:sz="6" w:space="0" w:color="auto"/>
            </w:tcBorders>
            <w:vAlign w:val="center"/>
          </w:tcPr>
          <w:p w:rsidR="00E0040C" w:rsidRDefault="00E0040C">
            <w:pPr>
              <w:widowControl/>
              <w:jc w:val="center"/>
              <w:rPr>
                <w:rFonts w:ascii="仿宋" w:eastAsia="仿宋" w:hAnsi="仿宋"/>
                <w:sz w:val="24"/>
                <w:szCs w:val="24"/>
              </w:rPr>
            </w:pPr>
          </w:p>
        </w:tc>
      </w:tr>
      <w:tr w:rsidR="00E0040C">
        <w:tc>
          <w:tcPr>
            <w:tcW w:w="900" w:type="dxa"/>
            <w:vMerge/>
            <w:tcBorders>
              <w:top w:val="nil"/>
              <w:left w:val="inset" w:sz="6" w:space="0" w:color="auto"/>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080" w:type="dxa"/>
            <w:vMerge/>
            <w:tcBorders>
              <w:top w:val="nil"/>
              <w:left w:val="nil"/>
              <w:bottom w:val="inset" w:sz="6" w:space="0" w:color="auto"/>
              <w:right w:val="inset" w:sz="6" w:space="0" w:color="auto"/>
            </w:tcBorders>
            <w:vAlign w:val="center"/>
          </w:tcPr>
          <w:p w:rsidR="00E0040C" w:rsidRDefault="00E0040C">
            <w:pPr>
              <w:widowControl/>
              <w:jc w:val="left"/>
              <w:rPr>
                <w:rFonts w:ascii="仿宋" w:eastAsia="仿宋" w:hAnsi="仿宋"/>
                <w:sz w:val="24"/>
                <w:szCs w:val="24"/>
              </w:rPr>
            </w:pPr>
          </w:p>
        </w:tc>
        <w:tc>
          <w:tcPr>
            <w:tcW w:w="1260"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社会公众</w:t>
            </w:r>
          </w:p>
          <w:p w:rsidR="00E0040C" w:rsidRDefault="00022F2F">
            <w:pPr>
              <w:rPr>
                <w:rFonts w:ascii="仿宋" w:eastAsia="仿宋" w:hAnsi="仿宋"/>
                <w:sz w:val="24"/>
                <w:szCs w:val="24"/>
              </w:rPr>
            </w:pPr>
            <w:r>
              <w:rPr>
                <w:rFonts w:ascii="仿宋" w:eastAsia="仿宋" w:hAnsi="仿宋" w:hint="eastAsia"/>
                <w:sz w:val="24"/>
                <w:szCs w:val="24"/>
              </w:rPr>
              <w:t>或服务对</w:t>
            </w:r>
          </w:p>
          <w:p w:rsidR="00E0040C" w:rsidRDefault="00022F2F">
            <w:pPr>
              <w:rPr>
                <w:rFonts w:ascii="仿宋" w:eastAsia="仿宋" w:hAnsi="仿宋"/>
                <w:sz w:val="24"/>
                <w:szCs w:val="24"/>
              </w:rPr>
            </w:pPr>
            <w:r>
              <w:rPr>
                <w:rFonts w:ascii="仿宋" w:eastAsia="仿宋" w:hAnsi="仿宋" w:hint="eastAsia"/>
                <w:sz w:val="24"/>
                <w:szCs w:val="24"/>
              </w:rPr>
              <w:t>象满意度（5分）</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5</w:t>
            </w:r>
          </w:p>
        </w:tc>
        <w:tc>
          <w:tcPr>
            <w:tcW w:w="2377"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我局制定的各项政策，基本得到社会公众的认可和满意</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按收集到的服务对象的满意率计算得分（5分）</w:t>
            </w:r>
          </w:p>
        </w:tc>
      </w:tr>
      <w:tr w:rsidR="00E0040C">
        <w:tc>
          <w:tcPr>
            <w:tcW w:w="3240" w:type="dxa"/>
            <w:gridSpan w:val="3"/>
            <w:tcBorders>
              <w:top w:val="inset" w:sz="6" w:space="0" w:color="auto"/>
              <w:left w:val="inset" w:sz="6" w:space="0" w:color="auto"/>
              <w:bottom w:val="inset" w:sz="6" w:space="0" w:color="auto"/>
              <w:right w:val="inset" w:sz="6" w:space="0" w:color="auto"/>
            </w:tcBorders>
            <w:vAlign w:val="center"/>
          </w:tcPr>
          <w:p w:rsidR="00E0040C" w:rsidRDefault="00022F2F">
            <w:pPr>
              <w:rPr>
                <w:rFonts w:ascii="仿宋" w:eastAsia="仿宋" w:hAnsi="仿宋"/>
                <w:sz w:val="24"/>
                <w:szCs w:val="24"/>
              </w:rPr>
            </w:pPr>
            <w:r>
              <w:rPr>
                <w:rFonts w:ascii="仿宋" w:eastAsia="仿宋" w:hAnsi="仿宋" w:hint="eastAsia"/>
                <w:sz w:val="24"/>
                <w:szCs w:val="24"/>
              </w:rPr>
              <w:t xml:space="preserve">合 </w:t>
            </w:r>
            <w:r>
              <w:rPr>
                <w:rFonts w:ascii="宋体" w:hAnsi="宋体" w:hint="eastAsia"/>
                <w:sz w:val="24"/>
                <w:szCs w:val="24"/>
              </w:rPr>
              <w:t xml:space="preserve">  </w:t>
            </w:r>
            <w:r>
              <w:rPr>
                <w:rFonts w:ascii="仿宋" w:eastAsia="仿宋" w:hAnsi="仿宋" w:hint="eastAsia"/>
                <w:sz w:val="24"/>
                <w:szCs w:val="24"/>
              </w:rPr>
              <w:t>计</w:t>
            </w:r>
          </w:p>
        </w:tc>
        <w:tc>
          <w:tcPr>
            <w:tcW w:w="900" w:type="dxa"/>
            <w:tcBorders>
              <w:top w:val="inset" w:sz="6" w:space="0" w:color="auto"/>
              <w:left w:val="nil"/>
              <w:bottom w:val="inset" w:sz="6" w:space="0" w:color="auto"/>
              <w:right w:val="inset" w:sz="6" w:space="0" w:color="auto"/>
            </w:tcBorders>
            <w:vAlign w:val="center"/>
          </w:tcPr>
          <w:p w:rsidR="00E0040C" w:rsidRDefault="00022F2F">
            <w:pPr>
              <w:jc w:val="center"/>
              <w:rPr>
                <w:rFonts w:ascii="仿宋" w:eastAsia="仿宋" w:hAnsi="仿宋"/>
                <w:sz w:val="24"/>
                <w:szCs w:val="24"/>
              </w:rPr>
            </w:pPr>
            <w:r>
              <w:rPr>
                <w:rFonts w:ascii="仿宋" w:eastAsia="仿宋" w:hAnsi="仿宋" w:hint="eastAsia"/>
                <w:sz w:val="24"/>
                <w:szCs w:val="24"/>
              </w:rPr>
              <w:t>9</w:t>
            </w:r>
            <w:r w:rsidR="00701B44">
              <w:rPr>
                <w:rFonts w:ascii="仿宋" w:eastAsia="仿宋" w:hAnsi="仿宋" w:hint="eastAsia"/>
                <w:sz w:val="24"/>
                <w:szCs w:val="24"/>
              </w:rPr>
              <w:t>8</w:t>
            </w:r>
          </w:p>
        </w:tc>
        <w:tc>
          <w:tcPr>
            <w:tcW w:w="2377" w:type="dxa"/>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宋体" w:hAnsi="宋体" w:hint="eastAsia"/>
                <w:sz w:val="24"/>
                <w:szCs w:val="24"/>
              </w:rPr>
              <w:t> </w:t>
            </w:r>
          </w:p>
        </w:tc>
        <w:tc>
          <w:tcPr>
            <w:tcW w:w="2893" w:type="dxa"/>
            <w:gridSpan w:val="2"/>
            <w:tcBorders>
              <w:top w:val="inset" w:sz="6" w:space="0" w:color="auto"/>
              <w:left w:val="nil"/>
              <w:bottom w:val="inset" w:sz="6" w:space="0" w:color="auto"/>
              <w:right w:val="inset" w:sz="6" w:space="0" w:color="auto"/>
            </w:tcBorders>
            <w:vAlign w:val="center"/>
          </w:tcPr>
          <w:p w:rsidR="00E0040C" w:rsidRDefault="00022F2F">
            <w:pPr>
              <w:rPr>
                <w:rFonts w:ascii="仿宋" w:eastAsia="仿宋" w:hAnsi="仿宋"/>
                <w:sz w:val="24"/>
                <w:szCs w:val="24"/>
              </w:rPr>
            </w:pPr>
            <w:r>
              <w:rPr>
                <w:rFonts w:ascii="宋体" w:hAnsi="宋体" w:hint="eastAsia"/>
                <w:sz w:val="24"/>
                <w:szCs w:val="24"/>
              </w:rPr>
              <w:t> </w:t>
            </w:r>
          </w:p>
        </w:tc>
      </w:tr>
    </w:tbl>
    <w:p w:rsidR="00E0040C" w:rsidRDefault="00E0040C">
      <w:bookmarkStart w:id="0" w:name="_GoBack"/>
      <w:bookmarkEnd w:id="0"/>
    </w:p>
    <w:sectPr w:rsidR="00E0040C" w:rsidSect="00E004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F2F" w:rsidRDefault="00022F2F" w:rsidP="00022F2F">
      <w:r>
        <w:separator/>
      </w:r>
    </w:p>
  </w:endnote>
  <w:endnote w:type="continuationSeparator" w:id="0">
    <w:p w:rsidR="00022F2F" w:rsidRDefault="00022F2F" w:rsidP="00022F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F2F" w:rsidRDefault="00022F2F" w:rsidP="00022F2F">
      <w:r>
        <w:separator/>
      </w:r>
    </w:p>
  </w:footnote>
  <w:footnote w:type="continuationSeparator" w:id="0">
    <w:p w:rsidR="00022F2F" w:rsidRDefault="00022F2F" w:rsidP="00022F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1DF5"/>
    <w:rsid w:val="00022F2F"/>
    <w:rsid w:val="00034581"/>
    <w:rsid w:val="00074AAE"/>
    <w:rsid w:val="001333CF"/>
    <w:rsid w:val="00150FD3"/>
    <w:rsid w:val="00214ECA"/>
    <w:rsid w:val="002C7EE2"/>
    <w:rsid w:val="00323AC4"/>
    <w:rsid w:val="003D1DF5"/>
    <w:rsid w:val="005F6886"/>
    <w:rsid w:val="00701B44"/>
    <w:rsid w:val="00797CFB"/>
    <w:rsid w:val="007D3B5E"/>
    <w:rsid w:val="008574B3"/>
    <w:rsid w:val="009C17C1"/>
    <w:rsid w:val="009C77E9"/>
    <w:rsid w:val="00AC7D10"/>
    <w:rsid w:val="00BA4C44"/>
    <w:rsid w:val="00BD379F"/>
    <w:rsid w:val="00CA68A2"/>
    <w:rsid w:val="00E0040C"/>
    <w:rsid w:val="00E665F4"/>
    <w:rsid w:val="00FA3453"/>
    <w:rsid w:val="00FB5815"/>
    <w:rsid w:val="00FE62E6"/>
    <w:rsid w:val="371D61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0C"/>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0040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004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0040C"/>
    <w:rPr>
      <w:rFonts w:ascii="Times New Roman" w:eastAsia="宋体" w:hAnsi="Times New Roman" w:cs="Times New Roman"/>
      <w:sz w:val="18"/>
      <w:szCs w:val="18"/>
    </w:rPr>
  </w:style>
  <w:style w:type="character" w:customStyle="1" w:styleId="Char">
    <w:name w:val="页脚 Char"/>
    <w:basedOn w:val="a0"/>
    <w:link w:val="a3"/>
    <w:uiPriority w:val="99"/>
    <w:semiHidden/>
    <w:rsid w:val="00E0040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68323E-3348-4107-84DD-7586576C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Pages>
  <Words>529</Words>
  <Characters>3021</Characters>
  <Application>Microsoft Office Word</Application>
  <DocSecurity>0</DocSecurity>
  <Lines>25</Lines>
  <Paragraphs>7</Paragraphs>
  <ScaleCrop>false</ScaleCrop>
  <Company>微软中国</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6</cp:revision>
  <cp:lastPrinted>2020-09-21T07:17:00Z</cp:lastPrinted>
  <dcterms:created xsi:type="dcterms:W3CDTF">2020-09-16T00:21:00Z</dcterms:created>
  <dcterms:modified xsi:type="dcterms:W3CDTF">2021-09-03T01:38:00Z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