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386D3">
      <w:pPr>
        <w:pStyle w:val="7"/>
        <w:widowControl/>
        <w:shd w:val="clear" w:color="auto" w:fill="FFFFFF"/>
        <w:snapToGrid w:val="0"/>
        <w:spacing w:beforeAutospacing="0" w:afterAutospacing="0" w:line="520" w:lineRule="exact"/>
        <w:ind w:firstLine="880"/>
        <w:jc w:val="center"/>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辰溪县卫生健康局</w:t>
      </w:r>
    </w:p>
    <w:p w14:paraId="4C31A823">
      <w:pPr>
        <w:pStyle w:val="7"/>
        <w:widowControl/>
        <w:shd w:val="clear" w:color="auto" w:fill="FFFFFF"/>
        <w:snapToGrid w:val="0"/>
        <w:spacing w:beforeAutospacing="0" w:afterAutospacing="0" w:line="520" w:lineRule="exact"/>
        <w:ind w:firstLine="880"/>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部门整体支出绩效自评报告</w:t>
      </w:r>
    </w:p>
    <w:p w14:paraId="72F0C8C6">
      <w:pPr>
        <w:pStyle w:val="7"/>
        <w:widowControl/>
        <w:shd w:val="clear" w:color="auto" w:fill="FFFFFF"/>
        <w:snapToGrid w:val="0"/>
        <w:spacing w:beforeAutospacing="0" w:afterAutospacing="0" w:line="520" w:lineRule="exact"/>
        <w:ind w:firstLine="480"/>
        <w:jc w:val="center"/>
        <w:rPr>
          <w:rFonts w:ascii="仿宋_GB2312" w:eastAsia="仿宋_GB2312" w:cs="仿宋_GB2312"/>
          <w:color w:val="000000"/>
        </w:rPr>
      </w:pPr>
    </w:p>
    <w:p w14:paraId="1A534F7D">
      <w:pPr>
        <w:pStyle w:val="7"/>
        <w:widowControl/>
        <w:shd w:val="clear" w:color="auto" w:fill="FFFFFF"/>
        <w:snapToGrid w:val="0"/>
        <w:spacing w:beforeAutospacing="0" w:afterAutospacing="0" w:line="52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14:paraId="091D361F">
      <w:pPr>
        <w:pStyle w:val="7"/>
        <w:widowControl/>
        <w:shd w:val="clear" w:color="auto" w:fill="FFFFFF"/>
        <w:snapToGrid w:val="0"/>
        <w:spacing w:beforeAutospacing="0" w:afterAutospacing="0" w:line="520" w:lineRule="exact"/>
        <w:ind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14:paraId="22B14721">
      <w:pPr>
        <w:widowControl/>
        <w:ind w:firstLine="640" w:firstLineChars="200"/>
        <w:rPr>
          <w:rFonts w:hint="eastAsia" w:ascii="楷体" w:hAnsi="楷体" w:eastAsia="楷体" w:cs="仿宋_GB2312"/>
          <w:kern w:val="0"/>
          <w:sz w:val="32"/>
          <w:szCs w:val="32"/>
          <w:shd w:val="clear" w:color="auto" w:fill="FFFFFF"/>
        </w:rPr>
      </w:pPr>
      <w:r>
        <w:rPr>
          <w:rFonts w:hint="eastAsia" w:ascii="楷体" w:hAnsi="楷体" w:eastAsia="楷体" w:cs="微软雅黑"/>
          <w:kern w:val="0"/>
          <w:sz w:val="32"/>
          <w:szCs w:val="32"/>
          <w:shd w:val="clear" w:color="auto" w:fill="FFFFFF"/>
        </w:rPr>
        <w:t>内</w:t>
      </w:r>
      <w:r>
        <w:rPr>
          <w:rFonts w:hint="eastAsia" w:ascii="楷体" w:hAnsi="楷体" w:eastAsia="楷体" w:cs="___WRD_EMBED_SUB_48"/>
          <w:kern w:val="0"/>
          <w:sz w:val="32"/>
          <w:szCs w:val="32"/>
          <w:shd w:val="clear" w:color="auto" w:fill="FFFFFF"/>
        </w:rPr>
        <w:t>设</w:t>
      </w:r>
      <w:r>
        <w:rPr>
          <w:rFonts w:hint="eastAsia" w:ascii="楷体" w:hAnsi="楷体" w:eastAsia="楷体" w:cs="微软雅黑"/>
          <w:kern w:val="0"/>
          <w:sz w:val="32"/>
          <w:szCs w:val="32"/>
          <w:shd w:val="clear" w:color="auto" w:fill="FFFFFF"/>
        </w:rPr>
        <w:t>办</w:t>
      </w:r>
      <w:r>
        <w:rPr>
          <w:rFonts w:hint="eastAsia" w:ascii="楷体" w:hAnsi="楷体" w:eastAsia="楷体" w:cs="___WRD_EMBED_SUB_48"/>
          <w:kern w:val="0"/>
          <w:sz w:val="32"/>
          <w:szCs w:val="32"/>
          <w:shd w:val="clear" w:color="auto" w:fill="FFFFFF"/>
        </w:rPr>
        <w:t>公</w:t>
      </w:r>
      <w:r>
        <w:rPr>
          <w:rFonts w:hint="eastAsia" w:ascii="楷体" w:hAnsi="楷体" w:eastAsia="楷体" w:cs="微软雅黑"/>
          <w:kern w:val="0"/>
          <w:sz w:val="32"/>
          <w:szCs w:val="32"/>
          <w:shd w:val="clear" w:color="auto" w:fill="FFFFFF"/>
        </w:rPr>
        <w:t>室（</w:t>
      </w:r>
      <w:r>
        <w:rPr>
          <w:rFonts w:hint="eastAsia" w:ascii="楷体" w:hAnsi="楷体" w:eastAsia="楷体" w:cs="___WRD_EMBED_SUB_48"/>
          <w:kern w:val="0"/>
          <w:sz w:val="32"/>
          <w:szCs w:val="32"/>
          <w:shd w:val="clear" w:color="auto" w:fill="FFFFFF"/>
        </w:rPr>
        <w:t>行</w:t>
      </w:r>
      <w:r>
        <w:rPr>
          <w:rFonts w:hint="eastAsia" w:ascii="楷体" w:hAnsi="楷体" w:eastAsia="楷体" w:cs="微软雅黑"/>
          <w:kern w:val="0"/>
          <w:sz w:val="32"/>
          <w:szCs w:val="32"/>
          <w:shd w:val="clear" w:color="auto" w:fill="FFFFFF"/>
        </w:rPr>
        <w:t>政审批</w:t>
      </w:r>
      <w:r>
        <w:rPr>
          <w:rFonts w:hint="eastAsia" w:ascii="楷体" w:hAnsi="楷体" w:eastAsia="楷体" w:cs="___WRD_EMBED_SUB_48"/>
          <w:kern w:val="0"/>
          <w:sz w:val="32"/>
          <w:szCs w:val="32"/>
          <w:shd w:val="clear" w:color="auto" w:fill="FFFFFF"/>
        </w:rPr>
        <w:t>服务</w:t>
      </w:r>
      <w:r>
        <w:rPr>
          <w:rFonts w:hint="eastAsia" w:ascii="楷体" w:hAnsi="楷体" w:eastAsia="楷体" w:cs="微软雅黑"/>
          <w:kern w:val="0"/>
          <w:sz w:val="32"/>
          <w:szCs w:val="32"/>
          <w:shd w:val="clear" w:color="auto" w:fill="FFFFFF"/>
        </w:rPr>
        <w:t>股）</w:t>
      </w:r>
      <w:r>
        <w:rPr>
          <w:rFonts w:hint="eastAsia" w:ascii="楷体" w:hAnsi="楷体" w:eastAsia="楷体" w:cs="___WRD_EMBED_SUB_48"/>
          <w:kern w:val="0"/>
          <w:sz w:val="32"/>
          <w:szCs w:val="32"/>
          <w:shd w:val="clear" w:color="auto" w:fill="FFFFFF"/>
        </w:rPr>
        <w:t>、人</w:t>
      </w:r>
      <w:r>
        <w:rPr>
          <w:rFonts w:hint="eastAsia" w:ascii="楷体" w:hAnsi="楷体" w:eastAsia="楷体" w:cs="微软雅黑"/>
          <w:kern w:val="0"/>
          <w:sz w:val="32"/>
          <w:szCs w:val="32"/>
          <w:shd w:val="clear" w:color="auto" w:fill="FFFFFF"/>
        </w:rPr>
        <w:t>事股（科技教育股）</w:t>
      </w:r>
      <w:r>
        <w:rPr>
          <w:rFonts w:hint="eastAsia" w:ascii="楷体" w:hAnsi="楷体" w:eastAsia="楷体" w:cs="___WRD_EMBED_SUB_48"/>
          <w:kern w:val="0"/>
          <w:sz w:val="32"/>
          <w:szCs w:val="32"/>
          <w:shd w:val="clear" w:color="auto" w:fill="FFFFFF"/>
        </w:rPr>
        <w:t>、规划</w:t>
      </w:r>
      <w:r>
        <w:rPr>
          <w:rFonts w:hint="eastAsia" w:ascii="楷体" w:hAnsi="楷体" w:eastAsia="楷体" w:cs="微软雅黑"/>
          <w:kern w:val="0"/>
          <w:sz w:val="32"/>
          <w:szCs w:val="32"/>
          <w:shd w:val="clear" w:color="auto" w:fill="FFFFFF"/>
        </w:rPr>
        <w:t>财</w:t>
      </w:r>
      <w:r>
        <w:rPr>
          <w:rFonts w:hint="eastAsia" w:ascii="楷体" w:hAnsi="楷体" w:eastAsia="楷体" w:cs="___WRD_EMBED_SUB_48"/>
          <w:kern w:val="0"/>
          <w:sz w:val="32"/>
          <w:szCs w:val="32"/>
          <w:shd w:val="clear" w:color="auto" w:fill="FFFFFF"/>
        </w:rPr>
        <w:t>务</w:t>
      </w:r>
      <w:r>
        <w:rPr>
          <w:rFonts w:hint="eastAsia" w:ascii="楷体" w:hAnsi="楷体" w:eastAsia="楷体" w:cs="微软雅黑"/>
          <w:kern w:val="0"/>
          <w:sz w:val="32"/>
          <w:szCs w:val="32"/>
          <w:shd w:val="clear" w:color="auto" w:fill="FFFFFF"/>
        </w:rPr>
        <w:t>信息股</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医政法制股（县深化医药卫生</w:t>
      </w:r>
      <w:r>
        <w:rPr>
          <w:rFonts w:hint="eastAsia" w:ascii="楷体" w:hAnsi="楷体" w:eastAsia="楷体" w:cs="___WRD_EMBED_SUB_48"/>
          <w:kern w:val="0"/>
          <w:sz w:val="32"/>
          <w:szCs w:val="32"/>
          <w:shd w:val="clear" w:color="auto" w:fill="FFFFFF"/>
        </w:rPr>
        <w:t>体</w:t>
      </w:r>
      <w:r>
        <w:rPr>
          <w:rFonts w:hint="eastAsia" w:ascii="楷体" w:hAnsi="楷体" w:eastAsia="楷体" w:cs="微软雅黑"/>
          <w:kern w:val="0"/>
          <w:sz w:val="32"/>
          <w:szCs w:val="32"/>
          <w:shd w:val="clear" w:color="auto" w:fill="FFFFFF"/>
        </w:rPr>
        <w:t>制改革领导小组办</w:t>
      </w:r>
      <w:r>
        <w:rPr>
          <w:rFonts w:hint="eastAsia" w:ascii="楷体" w:hAnsi="楷体" w:eastAsia="楷体" w:cs="___WRD_EMBED_SUB_48"/>
          <w:kern w:val="0"/>
          <w:sz w:val="32"/>
          <w:szCs w:val="32"/>
          <w:shd w:val="clear" w:color="auto" w:fill="FFFFFF"/>
        </w:rPr>
        <w:t>公</w:t>
      </w:r>
      <w:r>
        <w:rPr>
          <w:rFonts w:hint="eastAsia" w:ascii="楷体" w:hAnsi="楷体" w:eastAsia="楷体" w:cs="微软雅黑"/>
          <w:kern w:val="0"/>
          <w:sz w:val="32"/>
          <w:szCs w:val="32"/>
          <w:shd w:val="clear" w:color="auto" w:fill="FFFFFF"/>
        </w:rPr>
        <w:t>室）</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药政股（</w:t>
      </w:r>
      <w:r>
        <w:rPr>
          <w:rFonts w:hint="eastAsia" w:ascii="楷体" w:hAnsi="楷体" w:eastAsia="楷体" w:cs="___WRD_EMBED_SUB_48"/>
          <w:kern w:val="0"/>
          <w:sz w:val="32"/>
          <w:szCs w:val="32"/>
          <w:shd w:val="clear" w:color="auto" w:fill="FFFFFF"/>
        </w:rPr>
        <w:t>中</w:t>
      </w:r>
      <w:r>
        <w:rPr>
          <w:rFonts w:hint="eastAsia" w:ascii="楷体" w:hAnsi="楷体" w:eastAsia="楷体" w:cs="微软雅黑"/>
          <w:kern w:val="0"/>
          <w:sz w:val="32"/>
          <w:szCs w:val="32"/>
          <w:shd w:val="clear" w:color="auto" w:fill="FFFFFF"/>
        </w:rPr>
        <w:t>医药</w:t>
      </w:r>
      <w:r>
        <w:rPr>
          <w:rFonts w:hint="eastAsia" w:ascii="楷体" w:hAnsi="楷体" w:eastAsia="楷体" w:cs="___WRD_EMBED_SUB_48"/>
          <w:kern w:val="0"/>
          <w:sz w:val="32"/>
          <w:szCs w:val="32"/>
          <w:shd w:val="clear" w:color="auto" w:fill="FFFFFF"/>
        </w:rPr>
        <w:t>管理</w:t>
      </w:r>
      <w:r>
        <w:rPr>
          <w:rFonts w:hint="eastAsia" w:ascii="楷体" w:hAnsi="楷体" w:eastAsia="楷体" w:cs="微软雅黑"/>
          <w:kern w:val="0"/>
          <w:sz w:val="32"/>
          <w:szCs w:val="32"/>
          <w:shd w:val="clear" w:color="auto" w:fill="FFFFFF"/>
        </w:rPr>
        <w:t>股）</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疾病</w:t>
      </w:r>
      <w:r>
        <w:rPr>
          <w:rFonts w:hint="eastAsia" w:ascii="楷体" w:hAnsi="楷体" w:eastAsia="楷体" w:cs="___WRD_EMBED_SUB_48"/>
          <w:kern w:val="0"/>
          <w:sz w:val="32"/>
          <w:szCs w:val="32"/>
          <w:shd w:val="clear" w:color="auto" w:fill="FFFFFF"/>
        </w:rPr>
        <w:t>预</w:t>
      </w:r>
      <w:r>
        <w:rPr>
          <w:rFonts w:hint="eastAsia" w:ascii="楷体" w:hAnsi="楷体" w:eastAsia="楷体" w:cs="微软雅黑"/>
          <w:kern w:val="0"/>
          <w:sz w:val="32"/>
          <w:szCs w:val="32"/>
          <w:shd w:val="clear" w:color="auto" w:fill="FFFFFF"/>
        </w:rPr>
        <w:t>防控制股（县卫生</w:t>
      </w:r>
      <w:r>
        <w:rPr>
          <w:rFonts w:hint="eastAsia" w:ascii="楷体" w:hAnsi="楷体" w:eastAsia="楷体" w:cs="___WRD_EMBED_SUB_48"/>
          <w:kern w:val="0"/>
          <w:sz w:val="32"/>
          <w:szCs w:val="32"/>
          <w:shd w:val="clear" w:color="auto" w:fill="FFFFFF"/>
        </w:rPr>
        <w:t>应</w:t>
      </w:r>
      <w:r>
        <w:rPr>
          <w:rFonts w:hint="eastAsia" w:ascii="楷体" w:hAnsi="楷体" w:eastAsia="楷体" w:cs="微软雅黑"/>
          <w:kern w:val="0"/>
          <w:sz w:val="32"/>
          <w:szCs w:val="32"/>
          <w:shd w:val="clear" w:color="auto" w:fill="FFFFFF"/>
        </w:rPr>
        <w:t>急办</w:t>
      </w:r>
      <w:r>
        <w:rPr>
          <w:rFonts w:hint="eastAsia" w:ascii="楷体" w:hAnsi="楷体" w:eastAsia="楷体" w:cs="___WRD_EMBED_SUB_48"/>
          <w:kern w:val="0"/>
          <w:sz w:val="32"/>
          <w:szCs w:val="32"/>
          <w:shd w:val="clear" w:color="auto" w:fill="FFFFFF"/>
        </w:rPr>
        <w:t>公</w:t>
      </w:r>
      <w:r>
        <w:rPr>
          <w:rFonts w:hint="eastAsia" w:ascii="楷体" w:hAnsi="楷体" w:eastAsia="楷体" w:cs="微软雅黑"/>
          <w:kern w:val="0"/>
          <w:sz w:val="32"/>
          <w:szCs w:val="32"/>
          <w:shd w:val="clear" w:color="auto" w:fill="FFFFFF"/>
        </w:rPr>
        <w:t>室</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县</w:t>
      </w:r>
      <w:r>
        <w:rPr>
          <w:rFonts w:hint="eastAsia" w:ascii="楷体" w:hAnsi="楷体" w:eastAsia="楷体" w:cs="___WRD_EMBED_SUB_48"/>
          <w:kern w:val="0"/>
          <w:sz w:val="32"/>
          <w:szCs w:val="32"/>
          <w:shd w:val="clear" w:color="auto" w:fill="FFFFFF"/>
        </w:rPr>
        <w:t>人</w:t>
      </w:r>
      <w:r>
        <w:rPr>
          <w:rFonts w:hint="eastAsia" w:ascii="楷体" w:hAnsi="楷体" w:eastAsia="楷体" w:cs="微软雅黑"/>
          <w:kern w:val="0"/>
          <w:sz w:val="32"/>
          <w:szCs w:val="32"/>
          <w:shd w:val="clear" w:color="auto" w:fill="FFFFFF"/>
        </w:rPr>
        <w:t>民政府防治艾滋病工作委员会办</w:t>
      </w:r>
      <w:r>
        <w:rPr>
          <w:rFonts w:hint="eastAsia" w:ascii="楷体" w:hAnsi="楷体" w:eastAsia="楷体" w:cs="___WRD_EMBED_SUB_48"/>
          <w:kern w:val="0"/>
          <w:sz w:val="32"/>
          <w:szCs w:val="32"/>
          <w:shd w:val="clear" w:color="auto" w:fill="FFFFFF"/>
        </w:rPr>
        <w:t>公</w:t>
      </w:r>
      <w:r>
        <w:rPr>
          <w:rFonts w:hint="eastAsia" w:ascii="楷体" w:hAnsi="楷体" w:eastAsia="楷体" w:cs="微软雅黑"/>
          <w:kern w:val="0"/>
          <w:sz w:val="32"/>
          <w:szCs w:val="32"/>
          <w:shd w:val="clear" w:color="auto" w:fill="FFFFFF"/>
        </w:rPr>
        <w:t>室）</w:t>
      </w:r>
      <w:r>
        <w:rPr>
          <w:rFonts w:hint="eastAsia" w:ascii="楷体" w:hAnsi="楷体" w:eastAsia="楷体" w:cs="___WRD_EMBED_SUB_48"/>
          <w:kern w:val="0"/>
          <w:sz w:val="32"/>
          <w:szCs w:val="32"/>
          <w:shd w:val="clear" w:color="auto" w:fill="FFFFFF"/>
        </w:rPr>
        <w:t>、基</w:t>
      </w:r>
      <w:r>
        <w:rPr>
          <w:rFonts w:hint="eastAsia" w:ascii="楷体" w:hAnsi="楷体" w:eastAsia="楷体" w:cs="微软雅黑"/>
          <w:kern w:val="0"/>
          <w:sz w:val="32"/>
          <w:szCs w:val="32"/>
          <w:shd w:val="clear" w:color="auto" w:fill="FFFFFF"/>
        </w:rPr>
        <w:t>层卫生股</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流动</w:t>
      </w:r>
      <w:r>
        <w:rPr>
          <w:rFonts w:hint="eastAsia" w:ascii="楷体" w:hAnsi="楷体" w:eastAsia="楷体" w:cs="___WRD_EMBED_SUB_48"/>
          <w:kern w:val="0"/>
          <w:sz w:val="32"/>
          <w:szCs w:val="32"/>
          <w:shd w:val="clear" w:color="auto" w:fill="FFFFFF"/>
        </w:rPr>
        <w:t>人</w:t>
      </w:r>
      <w:r>
        <w:rPr>
          <w:rFonts w:hint="eastAsia" w:ascii="楷体" w:hAnsi="楷体" w:eastAsia="楷体" w:cs="微软雅黑"/>
          <w:kern w:val="0"/>
          <w:sz w:val="32"/>
          <w:szCs w:val="32"/>
          <w:shd w:val="clear" w:color="auto" w:fill="FFFFFF"/>
        </w:rPr>
        <w:t>口</w:t>
      </w:r>
      <w:r>
        <w:rPr>
          <w:rFonts w:hint="eastAsia" w:ascii="楷体" w:hAnsi="楷体" w:eastAsia="楷体" w:cs="___WRD_EMBED_SUB_48"/>
          <w:kern w:val="0"/>
          <w:sz w:val="32"/>
          <w:szCs w:val="32"/>
          <w:shd w:val="clear" w:color="auto" w:fill="FFFFFF"/>
        </w:rPr>
        <w:t>管理服务</w:t>
      </w:r>
      <w:r>
        <w:rPr>
          <w:rFonts w:hint="eastAsia" w:ascii="楷体" w:hAnsi="楷体" w:eastAsia="楷体" w:cs="微软雅黑"/>
          <w:kern w:val="0"/>
          <w:sz w:val="32"/>
          <w:szCs w:val="32"/>
          <w:shd w:val="clear" w:color="auto" w:fill="FFFFFF"/>
        </w:rPr>
        <w:t>股</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计</w:t>
      </w:r>
      <w:r>
        <w:rPr>
          <w:rFonts w:hint="eastAsia" w:ascii="楷体" w:hAnsi="楷体" w:eastAsia="楷体" w:cs="___WRD_EMBED_SUB_48"/>
          <w:kern w:val="0"/>
          <w:sz w:val="32"/>
          <w:szCs w:val="32"/>
          <w:shd w:val="clear" w:color="auto" w:fill="FFFFFF"/>
        </w:rPr>
        <w:t>划</w:t>
      </w:r>
      <w:r>
        <w:rPr>
          <w:rFonts w:hint="eastAsia" w:ascii="楷体" w:hAnsi="楷体" w:eastAsia="楷体" w:cs="微软雅黑"/>
          <w:kern w:val="0"/>
          <w:sz w:val="32"/>
          <w:szCs w:val="32"/>
          <w:shd w:val="clear" w:color="auto" w:fill="FFFFFF"/>
        </w:rPr>
        <w:t>生育指导股</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计</w:t>
      </w:r>
      <w:r>
        <w:rPr>
          <w:rFonts w:hint="eastAsia" w:ascii="楷体" w:hAnsi="楷体" w:eastAsia="楷体" w:cs="___WRD_EMBED_SUB_48"/>
          <w:kern w:val="0"/>
          <w:sz w:val="32"/>
          <w:szCs w:val="32"/>
          <w:shd w:val="clear" w:color="auto" w:fill="FFFFFF"/>
        </w:rPr>
        <w:t>划</w:t>
      </w:r>
      <w:r>
        <w:rPr>
          <w:rFonts w:hint="eastAsia" w:ascii="楷体" w:hAnsi="楷体" w:eastAsia="楷体" w:cs="微软雅黑"/>
          <w:kern w:val="0"/>
          <w:sz w:val="32"/>
          <w:szCs w:val="32"/>
          <w:shd w:val="clear" w:color="auto" w:fill="FFFFFF"/>
        </w:rPr>
        <w:t>生育家庭</w:t>
      </w:r>
      <w:r>
        <w:rPr>
          <w:rFonts w:hint="eastAsia" w:ascii="楷体" w:hAnsi="楷体" w:eastAsia="楷体" w:cs="___WRD_EMBED_SUB_48"/>
          <w:kern w:val="0"/>
          <w:sz w:val="32"/>
          <w:szCs w:val="32"/>
          <w:shd w:val="clear" w:color="auto" w:fill="FFFFFF"/>
        </w:rPr>
        <w:t>发展</w:t>
      </w:r>
      <w:r>
        <w:rPr>
          <w:rFonts w:hint="eastAsia" w:ascii="楷体" w:hAnsi="楷体" w:eastAsia="楷体" w:cs="微软雅黑"/>
          <w:kern w:val="0"/>
          <w:sz w:val="32"/>
          <w:szCs w:val="32"/>
          <w:shd w:val="clear" w:color="auto" w:fill="FFFFFF"/>
        </w:rPr>
        <w:t>股</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爱国卫生运动委员会办</w:t>
      </w:r>
      <w:r>
        <w:rPr>
          <w:rFonts w:hint="eastAsia" w:ascii="楷体" w:hAnsi="楷体" w:eastAsia="楷体" w:cs="___WRD_EMBED_SUB_48"/>
          <w:kern w:val="0"/>
          <w:sz w:val="32"/>
          <w:szCs w:val="32"/>
          <w:shd w:val="clear" w:color="auto" w:fill="FFFFFF"/>
        </w:rPr>
        <w:t>公</w:t>
      </w:r>
      <w:r>
        <w:rPr>
          <w:rFonts w:hint="eastAsia" w:ascii="楷体" w:hAnsi="楷体" w:eastAsia="楷体" w:cs="微软雅黑"/>
          <w:kern w:val="0"/>
          <w:sz w:val="32"/>
          <w:szCs w:val="32"/>
          <w:shd w:val="clear" w:color="auto" w:fill="FFFFFF"/>
        </w:rPr>
        <w:t>室</w:t>
      </w:r>
      <w:r>
        <w:rPr>
          <w:rFonts w:hint="eastAsia" w:ascii="楷体" w:hAnsi="楷体" w:eastAsia="楷体" w:cs="___WRD_EMBED_SUB_48"/>
          <w:kern w:val="0"/>
          <w:sz w:val="32"/>
          <w:szCs w:val="32"/>
          <w:shd w:val="clear" w:color="auto" w:fill="FFFFFF"/>
        </w:rPr>
        <w:t>。设基</w:t>
      </w:r>
      <w:r>
        <w:rPr>
          <w:rFonts w:hint="eastAsia" w:ascii="楷体" w:hAnsi="楷体" w:eastAsia="楷体" w:cs="微软雅黑"/>
          <w:kern w:val="0"/>
          <w:sz w:val="32"/>
          <w:szCs w:val="32"/>
          <w:shd w:val="clear" w:color="auto" w:fill="FFFFFF"/>
        </w:rPr>
        <w:t>层医疗卫生会计集</w:t>
      </w:r>
      <w:r>
        <w:rPr>
          <w:rFonts w:hint="eastAsia" w:ascii="楷体" w:hAnsi="楷体" w:eastAsia="楷体" w:cs="___WRD_EMBED_SUB_48"/>
          <w:kern w:val="0"/>
          <w:sz w:val="32"/>
          <w:szCs w:val="32"/>
          <w:shd w:val="clear" w:color="auto" w:fill="FFFFFF"/>
        </w:rPr>
        <w:t>中</w:t>
      </w:r>
      <w:r>
        <w:rPr>
          <w:rFonts w:hint="eastAsia" w:ascii="楷体" w:hAnsi="楷体" w:eastAsia="楷体" w:cs="微软雅黑"/>
          <w:kern w:val="0"/>
          <w:sz w:val="32"/>
          <w:szCs w:val="32"/>
          <w:shd w:val="clear" w:color="auto" w:fill="FFFFFF"/>
        </w:rPr>
        <w:t>核</w:t>
      </w:r>
      <w:r>
        <w:rPr>
          <w:rFonts w:hint="eastAsia" w:ascii="楷体" w:hAnsi="楷体" w:eastAsia="楷体" w:cs="___WRD_EMBED_SUB_48"/>
          <w:kern w:val="0"/>
          <w:sz w:val="32"/>
          <w:szCs w:val="32"/>
          <w:shd w:val="clear" w:color="auto" w:fill="FFFFFF"/>
        </w:rPr>
        <w:t>算中</w:t>
      </w:r>
      <w:r>
        <w:rPr>
          <w:rFonts w:hint="eastAsia" w:ascii="楷体" w:hAnsi="楷体" w:eastAsia="楷体" w:cs="微软雅黑"/>
          <w:kern w:val="0"/>
          <w:sz w:val="32"/>
          <w:szCs w:val="32"/>
          <w:shd w:val="clear" w:color="auto" w:fill="FFFFFF"/>
        </w:rPr>
        <w:t>心</w:t>
      </w:r>
      <w:r>
        <w:rPr>
          <w:rFonts w:hint="eastAsia" w:ascii="楷体" w:hAnsi="楷体" w:eastAsia="楷体" w:cs="___WRD_EMBED_SUB_48"/>
          <w:kern w:val="0"/>
          <w:sz w:val="32"/>
          <w:szCs w:val="32"/>
          <w:shd w:val="clear" w:color="auto" w:fill="FFFFFF"/>
        </w:rPr>
        <w:t>、基本</w:t>
      </w:r>
      <w:r>
        <w:rPr>
          <w:rFonts w:hint="eastAsia" w:ascii="楷体" w:hAnsi="楷体" w:eastAsia="楷体" w:cs="微软雅黑"/>
          <w:kern w:val="0"/>
          <w:sz w:val="32"/>
          <w:szCs w:val="32"/>
          <w:shd w:val="clear" w:color="auto" w:fill="FFFFFF"/>
        </w:rPr>
        <w:t>药物集</w:t>
      </w:r>
      <w:r>
        <w:rPr>
          <w:rFonts w:hint="eastAsia" w:ascii="楷体" w:hAnsi="楷体" w:eastAsia="楷体" w:cs="___WRD_EMBED_SUB_48"/>
          <w:kern w:val="0"/>
          <w:sz w:val="32"/>
          <w:szCs w:val="32"/>
          <w:shd w:val="clear" w:color="auto" w:fill="FFFFFF"/>
        </w:rPr>
        <w:t>中配</w:t>
      </w:r>
      <w:r>
        <w:rPr>
          <w:rFonts w:hint="eastAsia" w:ascii="楷体" w:hAnsi="楷体" w:eastAsia="楷体" w:cs="微软雅黑"/>
          <w:kern w:val="0"/>
          <w:sz w:val="32"/>
          <w:szCs w:val="32"/>
          <w:shd w:val="clear" w:color="auto" w:fill="FFFFFF"/>
        </w:rPr>
        <w:t>送</w:t>
      </w:r>
      <w:r>
        <w:rPr>
          <w:rFonts w:hint="eastAsia" w:ascii="楷体" w:hAnsi="楷体" w:eastAsia="楷体" w:cs="___WRD_EMBED_SUB_48"/>
          <w:kern w:val="0"/>
          <w:sz w:val="32"/>
          <w:szCs w:val="32"/>
          <w:shd w:val="clear" w:color="auto" w:fill="FFFFFF"/>
        </w:rPr>
        <w:t>中</w:t>
      </w:r>
      <w:r>
        <w:rPr>
          <w:rFonts w:hint="eastAsia" w:ascii="楷体" w:hAnsi="楷体" w:eastAsia="楷体" w:cs="微软雅黑"/>
          <w:kern w:val="0"/>
          <w:sz w:val="32"/>
          <w:szCs w:val="32"/>
          <w:shd w:val="clear" w:color="auto" w:fill="FFFFFF"/>
        </w:rPr>
        <w:t>心</w:t>
      </w:r>
      <w:r>
        <w:rPr>
          <w:rFonts w:hint="eastAsia" w:ascii="楷体" w:hAnsi="楷体" w:eastAsia="楷体" w:cs="___WRD_EMBED_SUB_48"/>
          <w:kern w:val="0"/>
          <w:sz w:val="32"/>
          <w:szCs w:val="32"/>
          <w:shd w:val="clear" w:color="auto" w:fill="FFFFFF"/>
        </w:rPr>
        <w:t>、</w:t>
      </w:r>
      <w:r>
        <w:rPr>
          <w:rFonts w:hint="eastAsia" w:ascii="楷体" w:hAnsi="楷体" w:eastAsia="楷体" w:cs="仿宋_GB2312"/>
          <w:kern w:val="0"/>
          <w:sz w:val="32"/>
          <w:szCs w:val="32"/>
          <w:shd w:val="clear" w:color="auto" w:fill="FFFFFF"/>
        </w:rPr>
        <w:t>120</w:t>
      </w:r>
      <w:r>
        <w:rPr>
          <w:rFonts w:hint="eastAsia" w:ascii="楷体" w:hAnsi="楷体" w:eastAsia="楷体" w:cs="微软雅黑"/>
          <w:kern w:val="0"/>
          <w:sz w:val="32"/>
          <w:szCs w:val="32"/>
          <w:shd w:val="clear" w:color="auto" w:fill="FFFFFF"/>
        </w:rPr>
        <w:t>急救指挥</w:t>
      </w:r>
      <w:r>
        <w:rPr>
          <w:rFonts w:hint="eastAsia" w:ascii="楷体" w:hAnsi="楷体" w:eastAsia="楷体" w:cs="___WRD_EMBED_SUB_48"/>
          <w:kern w:val="0"/>
          <w:sz w:val="32"/>
          <w:szCs w:val="32"/>
          <w:shd w:val="clear" w:color="auto" w:fill="FFFFFF"/>
        </w:rPr>
        <w:t>中</w:t>
      </w:r>
      <w:r>
        <w:rPr>
          <w:rFonts w:hint="eastAsia" w:ascii="楷体" w:hAnsi="楷体" w:eastAsia="楷体" w:cs="微软雅黑"/>
          <w:kern w:val="0"/>
          <w:sz w:val="32"/>
          <w:szCs w:val="32"/>
          <w:shd w:val="clear" w:color="auto" w:fill="FFFFFF"/>
        </w:rPr>
        <w:t>心</w:t>
      </w:r>
      <w:r>
        <w:rPr>
          <w:rFonts w:hint="eastAsia" w:ascii="楷体" w:hAnsi="楷体" w:eastAsia="楷体" w:cs="___WRD_EMBED_SUB_48"/>
          <w:kern w:val="0"/>
          <w:sz w:val="32"/>
          <w:szCs w:val="32"/>
          <w:shd w:val="clear" w:color="auto" w:fill="FFFFFF"/>
        </w:rPr>
        <w:t>、</w:t>
      </w:r>
      <w:r>
        <w:rPr>
          <w:rFonts w:hint="eastAsia" w:ascii="楷体" w:hAnsi="楷体" w:eastAsia="楷体" w:cs="微软雅黑"/>
          <w:kern w:val="0"/>
          <w:sz w:val="32"/>
          <w:szCs w:val="32"/>
          <w:shd w:val="clear" w:color="auto" w:fill="FFFFFF"/>
        </w:rPr>
        <w:t>健康教育</w:t>
      </w:r>
      <w:r>
        <w:rPr>
          <w:rFonts w:hint="eastAsia" w:ascii="楷体" w:hAnsi="楷体" w:eastAsia="楷体" w:cs="___WRD_EMBED_SUB_48"/>
          <w:kern w:val="0"/>
          <w:sz w:val="32"/>
          <w:szCs w:val="32"/>
          <w:shd w:val="clear" w:color="auto" w:fill="FFFFFF"/>
        </w:rPr>
        <w:t>所等</w:t>
      </w:r>
      <w:r>
        <w:rPr>
          <w:rFonts w:hint="eastAsia" w:ascii="楷体" w:hAnsi="楷体" w:eastAsia="楷体" w:cs="微软雅黑"/>
          <w:kern w:val="0"/>
          <w:sz w:val="32"/>
          <w:szCs w:val="32"/>
          <w:shd w:val="clear" w:color="auto" w:fill="FFFFFF"/>
        </w:rPr>
        <w:t>二</w:t>
      </w:r>
      <w:r>
        <w:rPr>
          <w:rFonts w:hint="eastAsia" w:ascii="楷体" w:hAnsi="楷体" w:eastAsia="楷体" w:cs="___WRD_EMBED_SUB_48"/>
          <w:kern w:val="0"/>
          <w:sz w:val="32"/>
          <w:szCs w:val="32"/>
          <w:shd w:val="clear" w:color="auto" w:fill="FFFFFF"/>
        </w:rPr>
        <w:t>级</w:t>
      </w:r>
      <w:r>
        <w:rPr>
          <w:rFonts w:hint="eastAsia" w:ascii="楷体" w:hAnsi="楷体" w:eastAsia="楷体" w:cs="微软雅黑"/>
          <w:kern w:val="0"/>
          <w:sz w:val="32"/>
          <w:szCs w:val="32"/>
          <w:shd w:val="clear" w:color="auto" w:fill="FFFFFF"/>
        </w:rPr>
        <w:t>全额事</w:t>
      </w:r>
      <w:r>
        <w:rPr>
          <w:rFonts w:hint="eastAsia" w:ascii="楷体" w:hAnsi="楷体" w:eastAsia="楷体" w:cs="___WRD_EMBED_SUB_48"/>
          <w:kern w:val="0"/>
          <w:sz w:val="32"/>
          <w:szCs w:val="32"/>
          <w:shd w:val="clear" w:color="auto" w:fill="FFFFFF"/>
        </w:rPr>
        <w:t>业单位</w:t>
      </w:r>
      <w:r>
        <w:rPr>
          <w:rFonts w:hint="eastAsia" w:ascii="楷体" w:hAnsi="楷体" w:eastAsia="楷体" w:cs="仿宋_GB2312"/>
          <w:kern w:val="0"/>
          <w:sz w:val="32"/>
          <w:szCs w:val="32"/>
          <w:shd w:val="clear" w:color="auto" w:fill="FFFFFF"/>
        </w:rPr>
        <w:t>。</w:t>
      </w:r>
    </w:p>
    <w:p w14:paraId="40B1F038">
      <w:pPr>
        <w:pStyle w:val="7"/>
        <w:widowControl/>
        <w:shd w:val="clear" w:color="auto" w:fill="FFFFFF"/>
        <w:snapToGrid w:val="0"/>
        <w:spacing w:beforeAutospacing="0" w:afterAutospacing="0" w:line="520" w:lineRule="exact"/>
        <w:ind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（二）人员编制情况</w:t>
      </w:r>
    </w:p>
    <w:p w14:paraId="6B1D153A">
      <w:pPr>
        <w:pStyle w:val="7"/>
        <w:widowControl/>
        <w:shd w:val="clear" w:color="auto" w:fill="FFFFFF"/>
        <w:snapToGrid w:val="0"/>
        <w:spacing w:beforeAutospacing="0" w:afterAutospacing="0" w:line="520" w:lineRule="exact"/>
        <w:ind w:firstLine="640"/>
        <w:rPr>
          <w:rFonts w:hint="eastAsia" w:ascii="楷体" w:hAnsi="楷体" w:eastAsia="楷体" w:cs="___WRD_EMBED_SUB_48"/>
          <w:sz w:val="32"/>
          <w:szCs w:val="32"/>
          <w:shd w:val="clear" w:color="auto" w:fill="FFFFFF"/>
        </w:rPr>
      </w:pPr>
      <w:r>
        <w:rPr>
          <w:rFonts w:hint="eastAsia" w:ascii="楷体" w:hAnsi="楷体" w:eastAsia="楷体" w:cs="___WRD_EMBED_SUB_48"/>
          <w:sz w:val="32"/>
          <w:szCs w:val="32"/>
          <w:shd w:val="clear" w:color="auto" w:fill="FFFFFF"/>
        </w:rPr>
        <w:t>编制人数89人，2024年末，实有在职人员89人、退休人员68人。</w:t>
      </w:r>
    </w:p>
    <w:p w14:paraId="05596D96">
      <w:pPr>
        <w:pStyle w:val="7"/>
        <w:widowControl/>
        <w:shd w:val="clear" w:color="auto" w:fill="FFFFFF"/>
        <w:snapToGrid w:val="0"/>
        <w:spacing w:beforeAutospacing="0" w:afterAutospacing="0" w:line="520" w:lineRule="exact"/>
        <w:ind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（三）主要职能职责</w:t>
      </w:r>
    </w:p>
    <w:p w14:paraId="26E89315">
      <w:pPr>
        <w:widowControl/>
        <w:ind w:firstLine="640" w:firstLineChars="200"/>
        <w:rPr>
          <w:rFonts w:hint="eastAsia" w:ascii="楷体" w:hAnsi="楷体" w:eastAsia="楷体" w:cs="微软雅黑"/>
          <w:kern w:val="0"/>
          <w:sz w:val="32"/>
          <w:szCs w:val="32"/>
          <w:shd w:val="clear" w:color="auto" w:fill="FFFFFF"/>
        </w:rPr>
      </w:pPr>
      <w:r>
        <w:rPr>
          <w:rFonts w:hint="eastAsia" w:ascii="楷体" w:hAnsi="楷体" w:eastAsia="楷体" w:cs="微软雅黑"/>
          <w:kern w:val="0"/>
          <w:sz w:val="32"/>
          <w:szCs w:val="32"/>
          <w:shd w:val="clear" w:color="auto" w:fill="FFFFFF"/>
        </w:rPr>
        <w:t>辰溪县卫生健康局为全额财政拨款单位，主要职能是负责协调推进全县医药卫生体制改革和医疗保障，统筹规划全县卫生和计划生育服务资源配置，组织和指导区域卫生和计划生育规划的编制和实施；负责制定全县疾病预防控制规划、免疫规划、传染病防治、突发公共卫生事件应急处置、职业卫生监督、公共场所卫生、妇幼儿童保健卫生、饮用水卫生、基本公共卫生服务等工作；负责指导推进医药卫生体制改革和医疗卫生服务体系建设；负责指导全县基层卫生和计划生育、优生优育、人口发展规划、计划生育利益导向等工作；承办县人民政府及市卫健委交办的其他事项。</w:t>
      </w:r>
    </w:p>
    <w:p w14:paraId="52CDD3C8">
      <w:pPr>
        <w:pStyle w:val="7"/>
        <w:widowControl/>
        <w:numPr>
          <w:ilvl w:val="0"/>
          <w:numId w:val="1"/>
        </w:numPr>
        <w:shd w:val="clear" w:color="auto" w:fill="FFFFFF"/>
        <w:snapToGrid w:val="0"/>
        <w:spacing w:beforeAutospacing="0" w:afterAutospacing="0" w:line="520" w:lineRule="exact"/>
        <w:ind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绩效目标设定情况</w:t>
      </w:r>
    </w:p>
    <w:p w14:paraId="15CD8CDE">
      <w:pPr>
        <w:pStyle w:val="7"/>
        <w:widowControl/>
        <w:numPr>
          <w:ilvl w:val="0"/>
          <w:numId w:val="0"/>
        </w:numPr>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lang w:val="en-US" w:eastAsia="zh-CN"/>
        </w:rPr>
        <w:t>1、</w:t>
      </w:r>
      <w:r>
        <w:rPr>
          <w:rFonts w:hint="eastAsia" w:ascii="楷体_GB2312" w:eastAsia="楷体_GB2312" w:cs="楷体_GB2312"/>
          <w:color w:val="000000"/>
          <w:sz w:val="32"/>
          <w:szCs w:val="32"/>
          <w:shd w:val="clear" w:color="auto" w:fill="FFFFFF"/>
          <w:lang w:eastAsia="zh-CN"/>
        </w:rPr>
        <w:t>坚持</w:t>
      </w:r>
      <w:r>
        <w:rPr>
          <w:rFonts w:hint="eastAsia" w:ascii="楷体_GB2312" w:eastAsia="楷体_GB2312" w:cs="楷体_GB2312"/>
          <w:color w:val="000000"/>
          <w:sz w:val="32"/>
          <w:szCs w:val="32"/>
          <w:shd w:val="clear" w:color="auto" w:fill="FFFFFF"/>
        </w:rPr>
        <w:t>强基固本，推动医疗卫生高质量发展。一是持续加大县第一人民医院和黄溪口镇中心卫生院县域医疗次中心项目建设。目前，县第一人民医院</w:t>
      </w:r>
      <w:r>
        <w:rPr>
          <w:rFonts w:ascii="楷体_GB2312" w:eastAsia="楷体_GB2312" w:cs="楷体_GB2312"/>
          <w:color w:val="000000"/>
          <w:sz w:val="32"/>
          <w:szCs w:val="32"/>
          <w:shd w:val="clear" w:color="auto" w:fill="FFFFFF"/>
        </w:rPr>
        <w:t>一期工程感染楼、医技楼</w:t>
      </w:r>
      <w:r>
        <w:rPr>
          <w:rFonts w:hint="eastAsia" w:ascii="楷体_GB2312" w:eastAsia="楷体_GB2312" w:cs="楷体_GB2312"/>
          <w:color w:val="000000"/>
          <w:sz w:val="32"/>
          <w:szCs w:val="32"/>
          <w:shd w:val="clear" w:color="auto" w:fill="FFFFFF"/>
        </w:rPr>
        <w:t>进入</w:t>
      </w:r>
      <w:r>
        <w:rPr>
          <w:rFonts w:ascii="楷体_GB2312" w:eastAsia="楷体_GB2312" w:cs="楷体_GB2312"/>
          <w:color w:val="000000"/>
          <w:sz w:val="32"/>
          <w:szCs w:val="32"/>
          <w:shd w:val="clear" w:color="auto" w:fill="FFFFFF"/>
        </w:rPr>
        <w:t>内部装修</w:t>
      </w:r>
      <w:r>
        <w:rPr>
          <w:rFonts w:hint="eastAsia" w:ascii="楷体_GB2312" w:eastAsia="楷体_GB2312" w:cs="楷体_GB2312"/>
          <w:color w:val="000000"/>
          <w:sz w:val="32"/>
          <w:szCs w:val="32"/>
          <w:shd w:val="clear" w:color="auto" w:fill="FFFFFF"/>
        </w:rPr>
        <w:t>阶段，</w:t>
      </w:r>
      <w:r>
        <w:rPr>
          <w:rFonts w:ascii="楷体_GB2312" w:eastAsia="楷体_GB2312" w:cs="楷体_GB2312"/>
          <w:color w:val="000000"/>
          <w:sz w:val="32"/>
          <w:szCs w:val="32"/>
          <w:shd w:val="clear" w:color="auto" w:fill="FFFFFF"/>
        </w:rPr>
        <w:t>设备采购和信息化建设</w:t>
      </w:r>
      <w:r>
        <w:rPr>
          <w:rFonts w:hint="eastAsia" w:ascii="楷体_GB2312" w:eastAsia="楷体_GB2312" w:cs="楷体_GB2312"/>
          <w:color w:val="000000"/>
          <w:sz w:val="32"/>
          <w:szCs w:val="32"/>
          <w:shd w:val="clear" w:color="auto" w:fill="FFFFFF"/>
        </w:rPr>
        <w:t>有序开展。完成了</w:t>
      </w:r>
      <w:r>
        <w:rPr>
          <w:rFonts w:ascii="楷体_GB2312" w:eastAsia="楷体_GB2312" w:cs="楷体_GB2312"/>
          <w:color w:val="000000"/>
          <w:sz w:val="32"/>
          <w:szCs w:val="32"/>
          <w:shd w:val="clear" w:color="auto" w:fill="FFFFFF"/>
        </w:rPr>
        <w:t>县域医疗次中心</w:t>
      </w:r>
      <w:r>
        <w:rPr>
          <w:rFonts w:hint="eastAsia" w:ascii="楷体_GB2312" w:eastAsia="楷体_GB2312" w:cs="楷体_GB2312"/>
          <w:color w:val="000000"/>
          <w:sz w:val="32"/>
          <w:szCs w:val="32"/>
          <w:shd w:val="clear" w:color="auto" w:fill="FFFFFF"/>
        </w:rPr>
        <w:t>项目泌尿外科、检验科、手术室、中医科等医疗设备采购并已投入使用。</w:t>
      </w:r>
      <w:r>
        <w:rPr>
          <w:rFonts w:hint="eastAsia" w:ascii="楷体_GB2312" w:eastAsia="楷体_GB2312" w:cs="楷体_GB2312"/>
          <w:color w:val="000000"/>
          <w:sz w:val="32"/>
          <w:szCs w:val="32"/>
          <w:shd w:val="clear" w:color="auto" w:fill="FFFFFF"/>
          <w:lang w:eastAsia="zh-CN"/>
        </w:rPr>
        <w:t>二</w:t>
      </w:r>
      <w:r>
        <w:rPr>
          <w:rFonts w:hint="eastAsia" w:ascii="楷体_GB2312" w:eastAsia="楷体_GB2312" w:cs="楷体_GB2312"/>
          <w:color w:val="000000"/>
          <w:sz w:val="32"/>
          <w:szCs w:val="32"/>
          <w:shd w:val="clear" w:color="auto" w:fill="FFFFFF"/>
        </w:rPr>
        <w:t>是推进医疗急救体系建设。全面落实湖南省5G智慧化急救体系建设，以县人民医院急救中心为基础，完成了县域急救指挥调度中心建设。同时，依托黄溪口、火马冲、安坪、孝坪4个乡镇（中心）卫生院，建成了4个基层急救分站，配置急救转运车辆48辆，12辆救护车辆安装5G智慧化急救系统。</w:t>
      </w:r>
      <w:r>
        <w:rPr>
          <w:rFonts w:hint="eastAsia" w:ascii="楷体_GB2312" w:eastAsia="楷体_GB2312" w:cs="楷体_GB2312"/>
          <w:color w:val="000000"/>
          <w:sz w:val="32"/>
          <w:szCs w:val="32"/>
          <w:shd w:val="clear" w:color="auto" w:fill="FFFFFF"/>
          <w:lang w:eastAsia="zh-CN"/>
        </w:rPr>
        <w:t>三</w:t>
      </w:r>
      <w:r>
        <w:rPr>
          <w:rFonts w:hint="eastAsia" w:ascii="楷体_GB2312" w:eastAsia="楷体_GB2312" w:cs="楷体_GB2312"/>
          <w:color w:val="000000"/>
          <w:sz w:val="32"/>
          <w:szCs w:val="32"/>
          <w:shd w:val="clear" w:color="auto" w:fill="FFFFFF"/>
        </w:rPr>
        <w:t>加强</w:t>
      </w:r>
      <w:r>
        <w:rPr>
          <w:rFonts w:ascii="楷体_GB2312" w:eastAsia="楷体_GB2312" w:cs="楷体_GB2312"/>
          <w:color w:val="000000"/>
          <w:sz w:val="32"/>
          <w:szCs w:val="32"/>
          <w:shd w:val="clear" w:color="auto" w:fill="FFFFFF"/>
        </w:rPr>
        <w:t>医卫队伍建设。</w:t>
      </w:r>
      <w:r>
        <w:rPr>
          <w:rFonts w:hint="eastAsia" w:ascii="楷体_GB2312" w:eastAsia="楷体_GB2312" w:cs="楷体_GB2312"/>
          <w:color w:val="000000"/>
          <w:sz w:val="32"/>
          <w:szCs w:val="32"/>
          <w:shd w:val="clear" w:color="auto" w:fill="FFFFFF"/>
        </w:rPr>
        <w:t>完成2024年度6名本科生和20名专科生招录工作</w:t>
      </w:r>
      <w:r>
        <w:rPr>
          <w:rFonts w:hint="eastAsia" w:ascii="楷体_GB2312" w:eastAsia="楷体_GB2312" w:cs="楷体_GB2312"/>
          <w:color w:val="000000"/>
          <w:sz w:val="32"/>
          <w:szCs w:val="32"/>
          <w:shd w:val="clear" w:color="auto" w:fill="FFFFFF"/>
          <w:lang w:eastAsia="zh-CN"/>
        </w:rPr>
        <w:t>，</w:t>
      </w:r>
      <w:r>
        <w:rPr>
          <w:rFonts w:ascii="楷体_GB2312" w:eastAsia="楷体_GB2312" w:cs="楷体_GB2312"/>
          <w:color w:val="000000"/>
          <w:sz w:val="32"/>
          <w:szCs w:val="32"/>
          <w:shd w:val="clear" w:color="auto" w:fill="FFFFFF"/>
        </w:rPr>
        <w:t>公开招聘专业技术人</w:t>
      </w:r>
      <w:r>
        <w:rPr>
          <w:rFonts w:hint="eastAsia" w:ascii="楷体_GB2312" w:eastAsia="楷体_GB2312" w:cs="楷体_GB2312"/>
          <w:color w:val="000000"/>
          <w:sz w:val="32"/>
          <w:szCs w:val="32"/>
          <w:shd w:val="clear" w:color="auto" w:fill="FFFFFF"/>
          <w:lang w:eastAsia="zh-CN"/>
        </w:rPr>
        <w:t>员</w:t>
      </w:r>
      <w:r>
        <w:rPr>
          <w:rFonts w:hint="eastAsia" w:ascii="楷体_GB2312" w:eastAsia="楷体_GB2312" w:cs="楷体_GB2312"/>
          <w:color w:val="000000"/>
          <w:sz w:val="32"/>
          <w:szCs w:val="32"/>
          <w:shd w:val="clear" w:color="auto" w:fill="FFFFFF"/>
        </w:rPr>
        <w:t>47</w:t>
      </w:r>
      <w:r>
        <w:rPr>
          <w:rFonts w:ascii="楷体_GB2312" w:eastAsia="楷体_GB2312" w:cs="楷体_GB2312"/>
          <w:color w:val="000000"/>
          <w:sz w:val="32"/>
          <w:szCs w:val="32"/>
          <w:shd w:val="clear" w:color="auto" w:fill="FFFFFF"/>
        </w:rPr>
        <w:t>名</w:t>
      </w:r>
      <w:r>
        <w:rPr>
          <w:rFonts w:hint="eastAsia" w:ascii="楷体_GB2312" w:eastAsia="楷体_GB2312" w:cs="楷体_GB2312"/>
          <w:color w:val="000000"/>
          <w:sz w:val="32"/>
          <w:szCs w:val="32"/>
          <w:shd w:val="clear" w:color="auto" w:fill="FFFFFF"/>
          <w:lang w:eastAsia="zh-CN"/>
        </w:rPr>
        <w:t>，落实</w:t>
      </w:r>
      <w:r>
        <w:rPr>
          <w:rFonts w:hint="eastAsia" w:ascii="楷体_GB2312" w:eastAsia="楷体_GB2312" w:cs="楷体_GB2312"/>
          <w:color w:val="000000"/>
          <w:sz w:val="32"/>
          <w:szCs w:val="32"/>
          <w:shd w:val="clear" w:color="auto" w:fill="FFFFFF"/>
        </w:rPr>
        <w:t>原红十字会医院22名在编在岗位人员安置转隶工作</w:t>
      </w:r>
      <w:r>
        <w:rPr>
          <w:rFonts w:ascii="楷体_GB2312" w:eastAsia="楷体_GB2312" w:cs="楷体_GB2312"/>
          <w:color w:val="000000"/>
          <w:sz w:val="32"/>
          <w:szCs w:val="32"/>
          <w:shd w:val="clear" w:color="auto" w:fill="FFFFFF"/>
        </w:rPr>
        <w:t>。</w:t>
      </w:r>
      <w:r>
        <w:rPr>
          <w:rFonts w:hint="eastAsia" w:ascii="楷体_GB2312" w:eastAsia="楷体_GB2312" w:cs="楷体_GB2312"/>
          <w:color w:val="000000"/>
          <w:sz w:val="32"/>
          <w:szCs w:val="32"/>
          <w:shd w:val="clear" w:color="auto" w:fill="FFFFFF"/>
          <w:lang w:eastAsia="zh-CN"/>
        </w:rPr>
        <w:t>四</w:t>
      </w:r>
      <w:r>
        <w:rPr>
          <w:rFonts w:hint="eastAsia" w:ascii="楷体_GB2312" w:eastAsia="楷体_GB2312" w:cs="楷体_GB2312"/>
          <w:color w:val="000000"/>
          <w:sz w:val="32"/>
          <w:szCs w:val="32"/>
          <w:shd w:val="clear" w:color="auto" w:fill="FFFFFF"/>
        </w:rPr>
        <w:t>是强化基层运行保障。制定出台《辰溪县基层医疗卫生机构实施“一类保障、二类管理”工作方案》，从2024年起将乡镇卫生机构医护人员基本薪酬保障纳入县财政预算，共预算2800万元并按季度拨付，保障了卫生院运行</w:t>
      </w:r>
      <w:r>
        <w:rPr>
          <w:rFonts w:hint="eastAsia" w:ascii="楷体_GB2312" w:eastAsia="楷体_GB2312" w:cs="楷体_GB2312"/>
          <w:color w:val="000000"/>
          <w:sz w:val="32"/>
          <w:szCs w:val="32"/>
          <w:shd w:val="clear" w:color="auto" w:fill="FFFFFF"/>
          <w:lang w:eastAsia="zh-CN"/>
        </w:rPr>
        <w:t>和</w:t>
      </w:r>
      <w:r>
        <w:rPr>
          <w:rFonts w:hint="eastAsia" w:ascii="楷体_GB2312" w:eastAsia="楷体_GB2312" w:cs="楷体_GB2312"/>
          <w:color w:val="000000"/>
          <w:sz w:val="32"/>
          <w:szCs w:val="32"/>
          <w:shd w:val="clear" w:color="auto" w:fill="FFFFFF"/>
        </w:rPr>
        <w:t>在编在岗、临时聘用人员基本工资待遇。</w:t>
      </w:r>
    </w:p>
    <w:p w14:paraId="48CCC1E1">
      <w:pPr>
        <w:pStyle w:val="7"/>
        <w:widowControl/>
        <w:numPr>
          <w:ilvl w:val="0"/>
          <w:numId w:val="0"/>
        </w:numPr>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lang w:val="en-US" w:eastAsia="zh-CN"/>
        </w:rPr>
        <w:t>2、</w:t>
      </w:r>
      <w:r>
        <w:rPr>
          <w:rFonts w:hint="eastAsia" w:ascii="楷体_GB2312" w:eastAsia="楷体_GB2312" w:cs="楷体_GB2312"/>
          <w:color w:val="000000"/>
          <w:sz w:val="32"/>
          <w:szCs w:val="32"/>
          <w:shd w:val="clear" w:color="auto" w:fill="FFFFFF"/>
        </w:rPr>
        <w:t>突出健康主题，深入开展健康辰溪行动。大力开展爱国卫生运动，持续推进健康知识普及行动、全民健身行动、控烟行动、传染病及地方病防控行动等15项健康行动，巩固国家卫生县城成果，城乡环境面貌得到明显改善，城乡基础设施建设得到全面加强。一是强化健康教育。租赁公交站台宣传橱窗40块，大型广告牌2座，更换健康教育科普内容4期，印制《健康素养》66条，制作《生活方式》《国家基本公共卫生服务项目宣传》《控烟》等12种宣传手册25万余册。国家级健康教育素养监测和中医药文化建设复核辰溪三个样本点通过市级验收。二是积极开展控烟行动。结合世界无烟日宣传系列活动，制定下发《关于进一步加强全县党政机关暨公共场所控烟管理工作的通知》，推动党政机关领导干部带头控烟。三是完善健康设施。率先在超市、体育馆、城区车站、政务中心、公园等公共场所安装急救体外除颤仪AED机12台，为保护群众生命健康安全建立了“防护墙”。同时，完成了城南健康步道、健康主题公园建设。四是全面落实病媒生物防制。制定下发《辰溪县2024年巩固国家卫生县城病媒生物防制整治工作方案》，开展</w:t>
      </w:r>
      <w:r>
        <w:rPr>
          <w:rFonts w:hint="eastAsia" w:ascii="楷体_GB2312" w:eastAsia="楷体_GB2312" w:cs="楷体_GB2312"/>
          <w:color w:val="000000"/>
          <w:sz w:val="32"/>
          <w:szCs w:val="32"/>
          <w:shd w:val="clear" w:color="auto" w:fill="FFFFFF"/>
          <w:lang w:eastAsia="zh-CN"/>
        </w:rPr>
        <w:t>了</w:t>
      </w:r>
      <w:r>
        <w:rPr>
          <w:rFonts w:hint="eastAsia" w:ascii="楷体_GB2312" w:eastAsia="楷体_GB2312" w:cs="楷体_GB2312"/>
          <w:color w:val="000000"/>
          <w:sz w:val="32"/>
          <w:szCs w:val="32"/>
          <w:shd w:val="clear" w:color="auto" w:fill="FFFFFF"/>
        </w:rPr>
        <w:t>春季和夏季集中消杀活动，加装灭鼠盒1200个，投入灭鼠药剂2500斤。五是积极组织推进国家卫生乡镇创建。今年3月份柿溪乡已完成省级验收。</w:t>
      </w:r>
    </w:p>
    <w:p w14:paraId="02151FE9">
      <w:pPr>
        <w:pStyle w:val="7"/>
        <w:widowControl/>
        <w:numPr>
          <w:ilvl w:val="0"/>
          <w:numId w:val="0"/>
        </w:numPr>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lang w:val="en-US" w:eastAsia="zh-CN"/>
        </w:rPr>
        <w:t>3、</w:t>
      </w:r>
      <w:r>
        <w:rPr>
          <w:rFonts w:hint="eastAsia" w:ascii="楷体_GB2312" w:eastAsia="楷体_GB2312" w:cs="楷体_GB2312"/>
          <w:color w:val="000000"/>
          <w:sz w:val="32"/>
          <w:szCs w:val="32"/>
          <w:shd w:val="clear" w:color="auto" w:fill="FFFFFF"/>
        </w:rPr>
        <w:t>强化政策推动，落实落细</w:t>
      </w:r>
      <w:r>
        <w:rPr>
          <w:rFonts w:ascii="楷体_GB2312" w:eastAsia="楷体_GB2312" w:cs="楷体_GB2312"/>
          <w:color w:val="000000"/>
          <w:sz w:val="32"/>
          <w:szCs w:val="32"/>
          <w:shd w:val="clear" w:color="auto" w:fill="FFFFFF"/>
        </w:rPr>
        <w:t>民生</w:t>
      </w:r>
      <w:r>
        <w:rPr>
          <w:rFonts w:hint="eastAsia" w:ascii="楷体_GB2312" w:eastAsia="楷体_GB2312" w:cs="楷体_GB2312"/>
          <w:color w:val="000000"/>
          <w:sz w:val="32"/>
          <w:szCs w:val="32"/>
          <w:shd w:val="clear" w:color="auto" w:fill="FFFFFF"/>
        </w:rPr>
        <w:t>工程。一是持续巩固</w:t>
      </w:r>
      <w:r>
        <w:rPr>
          <w:rFonts w:hint="eastAsia" w:ascii="楷体_GB2312" w:eastAsia="楷体_GB2312" w:cs="楷体_GB2312"/>
          <w:color w:val="000000"/>
          <w:sz w:val="32"/>
          <w:szCs w:val="32"/>
          <w:shd w:val="clear" w:color="auto" w:fill="FFFFFF"/>
          <w:lang w:eastAsia="zh-CN"/>
        </w:rPr>
        <w:t>乡村振兴健康帮扶</w:t>
      </w:r>
      <w:r>
        <w:rPr>
          <w:rFonts w:hint="eastAsia" w:ascii="楷体_GB2312" w:eastAsia="楷体_GB2312" w:cs="楷体_GB2312"/>
          <w:color w:val="000000"/>
          <w:sz w:val="32"/>
          <w:szCs w:val="32"/>
          <w:shd w:val="clear" w:color="auto" w:fill="FFFFFF"/>
        </w:rPr>
        <w:t>成果</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rPr>
        <w:t>全面落实监测对象和脱贫人口分类救治服务等健康帮扶举措，稳步推进家庭医生签约服务。目前，已完成常住人口签约服务222374人，签约率为55%，签约服务覆盖率达到了省、市40%以上的要求。其中，在管高血压患者32949人，签约率为97.5%；糖尿病患者13356人，签约率为97.5%，严重精神障碍2547人，签约率为96.5%。同时，落实乡村医生驻点，对51个“空白村”由乡镇卫生院派驻医生。二是做实民生服务。积极开展“利剑护蕾·雷霆行动”和打击非法应用人类辅助生殖技术“霹雳行动”，维护妇女儿童合法权益，抓紧抓实抓细母婴安全保障工作，</w:t>
      </w:r>
      <w:r>
        <w:rPr>
          <w:rFonts w:ascii="楷体_GB2312" w:eastAsia="楷体_GB2312" w:cs="楷体_GB2312"/>
          <w:color w:val="000000"/>
          <w:sz w:val="32"/>
          <w:szCs w:val="32"/>
          <w:shd w:val="clear" w:color="auto" w:fill="FFFFFF"/>
        </w:rPr>
        <w:t>加强出生缺陷防治，实施免费婚前医学检查</w:t>
      </w:r>
      <w:r>
        <w:rPr>
          <w:rFonts w:hint="eastAsia" w:ascii="楷体_GB2312" w:eastAsia="楷体_GB2312" w:cs="楷体_GB2312"/>
          <w:color w:val="000000"/>
          <w:sz w:val="32"/>
          <w:szCs w:val="32"/>
          <w:shd w:val="clear" w:color="auto" w:fill="FFFFFF"/>
        </w:rPr>
        <w:t>、</w:t>
      </w:r>
      <w:r>
        <w:rPr>
          <w:rFonts w:ascii="楷体_GB2312" w:eastAsia="楷体_GB2312" w:cs="楷体_GB2312"/>
          <w:color w:val="000000"/>
          <w:sz w:val="32"/>
          <w:szCs w:val="32"/>
          <w:shd w:val="clear" w:color="auto" w:fill="FFFFFF"/>
        </w:rPr>
        <w:t>产前筛查、新生儿先天性心脏病筛查等</w:t>
      </w:r>
      <w:r>
        <w:rPr>
          <w:rFonts w:hint="eastAsia" w:ascii="楷体_GB2312" w:eastAsia="楷体_GB2312" w:cs="楷体_GB2312"/>
          <w:color w:val="000000"/>
          <w:sz w:val="32"/>
          <w:szCs w:val="32"/>
          <w:shd w:val="clear" w:color="auto" w:fill="FFFFFF"/>
        </w:rPr>
        <w:t>民生工作，完成农村适龄妇女“两癌”筛查 6287人（任务数 6</w:t>
      </w:r>
      <w:r>
        <w:rPr>
          <w:rFonts w:hint="eastAsia" w:ascii="楷体_GB2312" w:eastAsia="楷体_GB2312" w:cs="楷体_GB2312"/>
          <w:color w:val="000000"/>
          <w:sz w:val="32"/>
          <w:szCs w:val="32"/>
          <w:shd w:val="clear" w:color="auto" w:fill="FFFFFF"/>
          <w:lang w:val="en-US" w:eastAsia="zh-CN"/>
        </w:rPr>
        <w:t>250</w:t>
      </w:r>
      <w:r>
        <w:rPr>
          <w:rFonts w:hint="eastAsia" w:ascii="楷体_GB2312" w:eastAsia="楷体_GB2312" w:cs="楷体_GB2312"/>
          <w:color w:val="000000"/>
          <w:sz w:val="32"/>
          <w:szCs w:val="32"/>
          <w:shd w:val="clear" w:color="auto" w:fill="FFFFFF"/>
        </w:rPr>
        <w:t xml:space="preserve"> 人），完成率达10</w:t>
      </w:r>
      <w:r>
        <w:rPr>
          <w:rFonts w:hint="eastAsia" w:ascii="楷体_GB2312" w:eastAsia="楷体_GB2312" w:cs="楷体_GB2312"/>
          <w:color w:val="000000"/>
          <w:sz w:val="32"/>
          <w:szCs w:val="32"/>
          <w:shd w:val="clear" w:color="auto" w:fill="FFFFFF"/>
          <w:lang w:val="en-US" w:eastAsia="zh-CN"/>
        </w:rPr>
        <w:t>0</w:t>
      </w:r>
      <w:r>
        <w:rPr>
          <w:rFonts w:hint="eastAsia" w:ascii="楷体_GB2312" w:eastAsia="楷体_GB2312" w:cs="楷体_GB2312"/>
          <w:color w:val="000000"/>
          <w:sz w:val="32"/>
          <w:szCs w:val="32"/>
          <w:shd w:val="clear" w:color="auto" w:fill="FFFFFF"/>
        </w:rPr>
        <w:t>.6%；完成新生儿疾病免费筛查</w:t>
      </w:r>
      <w:r>
        <w:rPr>
          <w:rFonts w:hint="eastAsia" w:ascii="楷体_GB2312" w:eastAsia="楷体_GB2312" w:cs="楷体_GB2312"/>
          <w:color w:val="000000"/>
          <w:sz w:val="32"/>
          <w:szCs w:val="32"/>
          <w:shd w:val="clear" w:color="auto" w:fill="FFFFFF"/>
          <w:lang w:val="en-US" w:eastAsia="zh-CN"/>
        </w:rPr>
        <w:t>2126</w:t>
      </w:r>
      <w:r>
        <w:rPr>
          <w:rFonts w:hint="eastAsia" w:ascii="楷体_GB2312" w:eastAsia="楷体_GB2312" w:cs="楷体_GB2312"/>
          <w:color w:val="000000"/>
          <w:sz w:val="32"/>
          <w:szCs w:val="32"/>
          <w:shd w:val="clear" w:color="auto" w:fill="FFFFFF"/>
        </w:rPr>
        <w:t>人（任务数2100人），完成率为101.23%。完成中医体质辨识5000人次</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rPr>
        <w:t>完成率为1</w:t>
      </w:r>
      <w:r>
        <w:rPr>
          <w:rFonts w:hint="eastAsia" w:ascii="楷体_GB2312" w:eastAsia="楷体_GB2312" w:cs="楷体_GB2312"/>
          <w:color w:val="000000"/>
          <w:sz w:val="32"/>
          <w:szCs w:val="32"/>
          <w:shd w:val="clear" w:color="auto" w:fill="FFFFFF"/>
          <w:lang w:val="en-US" w:eastAsia="zh-CN"/>
        </w:rPr>
        <w:t>00</w:t>
      </w:r>
      <w:r>
        <w:rPr>
          <w:rFonts w:hint="eastAsia" w:ascii="楷体_GB2312" w:eastAsia="楷体_GB2312" w:cs="楷体_GB2312"/>
          <w:color w:val="000000"/>
          <w:sz w:val="32"/>
          <w:szCs w:val="32"/>
          <w:shd w:val="clear" w:color="auto" w:fill="FFFFFF"/>
        </w:rPr>
        <w:t>%。三是实施普惠托育服务“护蕾”行动。推动三岁以下</w:t>
      </w:r>
      <w:r>
        <w:rPr>
          <w:rFonts w:hint="eastAsia" w:ascii="楷体_GB2312" w:eastAsia="楷体_GB2312" w:cs="楷体_GB2312"/>
          <w:color w:val="000000"/>
          <w:sz w:val="32"/>
          <w:szCs w:val="32"/>
          <w:shd w:val="clear" w:color="auto" w:fill="FFFFFF"/>
          <w:lang w:val="en-US" w:eastAsia="zh-CN"/>
        </w:rPr>
        <w:t>婴</w:t>
      </w:r>
      <w:r>
        <w:rPr>
          <w:rFonts w:hint="eastAsia" w:ascii="楷体_GB2312" w:eastAsia="楷体_GB2312" w:cs="楷体_GB2312"/>
          <w:color w:val="000000"/>
          <w:sz w:val="32"/>
          <w:szCs w:val="32"/>
          <w:shd w:val="clear" w:color="auto" w:fill="FFFFFF"/>
        </w:rPr>
        <w:t>幼儿托育服务项目建设</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rPr>
        <w:t>通过幼儿园改扩建项目，新增</w:t>
      </w:r>
      <w:r>
        <w:rPr>
          <w:rFonts w:hint="eastAsia" w:ascii="楷体_GB2312" w:eastAsia="楷体_GB2312" w:cs="楷体_GB2312"/>
          <w:color w:val="000000"/>
          <w:sz w:val="32"/>
          <w:szCs w:val="32"/>
          <w:shd w:val="clear" w:color="auto" w:fill="FFFFFF"/>
          <w:lang w:val="en-US" w:eastAsia="zh-CN"/>
        </w:rPr>
        <w:t>普惠性</w:t>
      </w:r>
      <w:r>
        <w:rPr>
          <w:rFonts w:hint="eastAsia" w:ascii="楷体_GB2312" w:eastAsia="楷体_GB2312" w:cs="楷体_GB2312"/>
          <w:color w:val="000000"/>
          <w:sz w:val="32"/>
          <w:szCs w:val="32"/>
          <w:shd w:val="clear" w:color="auto" w:fill="FFFFFF"/>
        </w:rPr>
        <w:t>托位275个（任务275个），完成省下达民生实事任务进度100%。</w:t>
      </w:r>
    </w:p>
    <w:p w14:paraId="433D374B">
      <w:pPr>
        <w:pStyle w:val="7"/>
        <w:widowControl/>
        <w:numPr>
          <w:ilvl w:val="0"/>
          <w:numId w:val="0"/>
        </w:numPr>
        <w:shd w:val="clear" w:color="auto" w:fill="FFFFFF"/>
        <w:snapToGrid w:val="0"/>
        <w:spacing w:beforeAutospacing="0" w:afterAutospacing="0" w:line="520" w:lineRule="exact"/>
        <w:ind w:firstLine="640" w:firstLineChars="200"/>
        <w:rPr>
          <w:rFonts w:hint="eastAsia" w:ascii="楷体_GB2312" w:eastAsia="楷体_GB2312" w:cs="楷体_GB2312"/>
          <w:color w:val="000000"/>
          <w:sz w:val="32"/>
          <w:szCs w:val="32"/>
          <w:shd w:val="clear" w:color="auto" w:fill="FFFFFF"/>
          <w:lang w:eastAsia="zh-CN"/>
        </w:rPr>
      </w:pPr>
      <w:r>
        <w:rPr>
          <w:rFonts w:hint="eastAsia" w:ascii="楷体_GB2312" w:eastAsia="楷体_GB2312" w:cs="楷体_GB2312"/>
          <w:color w:val="000000"/>
          <w:sz w:val="32"/>
          <w:szCs w:val="32"/>
          <w:shd w:val="clear" w:color="auto" w:fill="FFFFFF"/>
          <w:lang w:val="en-US" w:eastAsia="zh-CN"/>
        </w:rPr>
        <w:t>4、</w:t>
      </w:r>
      <w:r>
        <w:rPr>
          <w:rFonts w:hint="eastAsia" w:ascii="楷体_GB2312" w:eastAsia="楷体_GB2312" w:cs="楷体_GB2312"/>
          <w:color w:val="000000"/>
          <w:sz w:val="32"/>
          <w:szCs w:val="32"/>
          <w:shd w:val="clear" w:color="auto" w:fill="FFFFFF"/>
        </w:rPr>
        <w:t>强化公共服务，</w:t>
      </w:r>
      <w:r>
        <w:rPr>
          <w:rFonts w:ascii="楷体_GB2312" w:eastAsia="楷体_GB2312" w:cs="楷体_GB2312"/>
          <w:color w:val="000000"/>
          <w:sz w:val="32"/>
          <w:szCs w:val="32"/>
          <w:shd w:val="clear" w:color="auto" w:fill="FFFFFF"/>
        </w:rPr>
        <w:t>提升重大公共卫生风险防范能力。一是</w:t>
      </w:r>
      <w:r>
        <w:rPr>
          <w:rFonts w:hint="eastAsia" w:ascii="楷体_GB2312" w:eastAsia="楷体_GB2312" w:cs="楷体_GB2312"/>
          <w:color w:val="000000"/>
          <w:sz w:val="32"/>
          <w:szCs w:val="32"/>
          <w:shd w:val="clear" w:color="auto" w:fill="FFFFFF"/>
        </w:rPr>
        <w:t>推进疾控体系改革。完成疾控中心和卫生计生综合监督执法局重组，配齐配强新疾控中心班子，健全内设机构。7月底，新组建的县疾控中心已实质化运行。二是扎实开展疾病预防控制。适龄儿童建卡、建证率达100%，“五苗”接种率达95%以上。三是抓实传染病防控。加强肺结核、霍乱、手足口病、流行性出血热、疟疾、布病等急性传染病的监测预警，</w:t>
      </w:r>
      <w:r>
        <w:rPr>
          <w:rFonts w:hint="eastAsia" w:ascii="楷体_GB2312" w:eastAsia="楷体_GB2312" w:cs="楷体_GB2312"/>
          <w:color w:val="000000"/>
          <w:sz w:val="32"/>
          <w:szCs w:val="32"/>
          <w:shd w:val="clear" w:color="auto" w:fill="FFFFFF"/>
          <w:lang w:eastAsia="zh-CN"/>
        </w:rPr>
        <w:t>截止目前全县报告乙类传染病1996例，丙类传染病2445例，与去年同期乙类传染病3298例，丙类传染病2725例相比，病例大幅度减少</w:t>
      </w:r>
      <w:r>
        <w:rPr>
          <w:rFonts w:hint="eastAsia" w:ascii="楷体_GB2312" w:eastAsia="楷体_GB2312" w:cs="楷体_GB2312"/>
          <w:color w:val="000000"/>
          <w:sz w:val="32"/>
          <w:szCs w:val="32"/>
          <w:shd w:val="clear" w:color="auto" w:fill="FFFFFF"/>
        </w:rPr>
        <w:t>。四是加大严重精神障碍患者管理。全县在册严重精神障碍患者2</w:t>
      </w:r>
      <w:r>
        <w:rPr>
          <w:rFonts w:hint="eastAsia" w:ascii="楷体_GB2312" w:eastAsia="楷体_GB2312" w:cs="楷体_GB2312"/>
          <w:color w:val="000000"/>
          <w:sz w:val="32"/>
          <w:szCs w:val="32"/>
          <w:shd w:val="clear" w:color="auto" w:fill="FFFFFF"/>
          <w:lang w:val="en-US" w:eastAsia="zh-CN"/>
        </w:rPr>
        <w:t>692</w:t>
      </w:r>
      <w:r>
        <w:rPr>
          <w:rFonts w:hint="eastAsia" w:ascii="楷体_GB2312" w:eastAsia="楷体_GB2312" w:cs="楷体_GB2312"/>
          <w:color w:val="000000"/>
          <w:sz w:val="32"/>
          <w:szCs w:val="32"/>
          <w:shd w:val="clear" w:color="auto" w:fill="FFFFFF"/>
        </w:rPr>
        <w:t>例，规范管理2</w:t>
      </w:r>
      <w:r>
        <w:rPr>
          <w:rFonts w:hint="eastAsia" w:ascii="楷体_GB2312" w:eastAsia="楷体_GB2312" w:cs="楷体_GB2312"/>
          <w:color w:val="000000"/>
          <w:sz w:val="32"/>
          <w:szCs w:val="32"/>
          <w:shd w:val="clear" w:color="auto" w:fill="FFFFFF"/>
          <w:lang w:val="en-US" w:eastAsia="zh-CN"/>
        </w:rPr>
        <w:t>597</w:t>
      </w:r>
      <w:r>
        <w:rPr>
          <w:rFonts w:hint="eastAsia" w:ascii="楷体_GB2312" w:eastAsia="楷体_GB2312" w:cs="楷体_GB2312"/>
          <w:color w:val="000000"/>
          <w:sz w:val="32"/>
          <w:szCs w:val="32"/>
          <w:shd w:val="clear" w:color="auto" w:fill="FFFFFF"/>
        </w:rPr>
        <w:t>例，规范管理率为9</w:t>
      </w:r>
      <w:r>
        <w:rPr>
          <w:rFonts w:hint="eastAsia" w:ascii="楷体_GB2312" w:eastAsia="楷体_GB2312" w:cs="楷体_GB2312"/>
          <w:color w:val="000000"/>
          <w:sz w:val="32"/>
          <w:szCs w:val="32"/>
          <w:shd w:val="clear" w:color="auto" w:fill="FFFFFF"/>
          <w:lang w:val="en-US" w:eastAsia="zh-CN"/>
        </w:rPr>
        <w:t>6.47</w:t>
      </w:r>
      <w:r>
        <w:rPr>
          <w:rFonts w:hint="eastAsia" w:ascii="楷体_GB2312" w:eastAsia="楷体_GB2312" w:cs="楷体_GB2312"/>
          <w:color w:val="000000"/>
          <w:sz w:val="32"/>
          <w:szCs w:val="32"/>
          <w:shd w:val="clear" w:color="auto" w:fill="FFFFFF"/>
        </w:rPr>
        <w:t>%，落实肇事肇祸精神病人监护人“以奖代补”3</w:t>
      </w:r>
      <w:r>
        <w:rPr>
          <w:rFonts w:hint="eastAsia" w:ascii="楷体_GB2312" w:eastAsia="楷体_GB2312" w:cs="楷体_GB2312"/>
          <w:color w:val="000000"/>
          <w:sz w:val="32"/>
          <w:szCs w:val="32"/>
          <w:shd w:val="clear" w:color="auto" w:fill="FFFFFF"/>
          <w:lang w:val="en-US" w:eastAsia="zh-CN"/>
        </w:rPr>
        <w:t>25</w:t>
      </w:r>
      <w:r>
        <w:rPr>
          <w:rFonts w:hint="eastAsia" w:ascii="楷体_GB2312" w:eastAsia="楷体_GB2312" w:cs="楷体_GB2312"/>
          <w:color w:val="000000"/>
          <w:sz w:val="32"/>
          <w:szCs w:val="32"/>
          <w:shd w:val="clear" w:color="auto" w:fill="FFFFFF"/>
        </w:rPr>
        <w:t>人</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lang w:val="en-US" w:eastAsia="zh-CN"/>
        </w:rPr>
        <w:t>发放奖补资金74.02万元</w:t>
      </w:r>
      <w:r>
        <w:rPr>
          <w:rFonts w:hint="eastAsia" w:ascii="楷体_GB2312" w:eastAsia="楷体_GB2312" w:cs="楷体_GB2312"/>
          <w:color w:val="000000"/>
          <w:sz w:val="32"/>
          <w:szCs w:val="32"/>
          <w:shd w:val="clear" w:color="auto" w:fill="FFFFFF"/>
          <w:lang w:eastAsia="zh-CN"/>
        </w:rPr>
        <w:t>。</w:t>
      </w:r>
    </w:p>
    <w:p w14:paraId="10DC5F64">
      <w:pPr>
        <w:pStyle w:val="7"/>
        <w:widowControl/>
        <w:numPr>
          <w:ilvl w:val="0"/>
          <w:numId w:val="0"/>
        </w:numPr>
        <w:shd w:val="clear" w:color="auto" w:fill="FFFFFF"/>
        <w:snapToGrid w:val="0"/>
        <w:spacing w:beforeAutospacing="0" w:afterAutospacing="0" w:line="520" w:lineRule="exact"/>
        <w:ind w:firstLine="640" w:firstLineChars="200"/>
        <w:rPr>
          <w:rFonts w:hint="default" w:ascii="楷体_GB2312" w:eastAsia="楷体_GB2312" w:cs="楷体_GB2312"/>
          <w:color w:val="000000"/>
          <w:sz w:val="32"/>
          <w:szCs w:val="32"/>
          <w:shd w:val="clear" w:color="auto" w:fill="FFFFFF"/>
          <w:lang w:val="en-US" w:eastAsia="zh-CN"/>
        </w:rPr>
      </w:pPr>
      <w:r>
        <w:rPr>
          <w:rFonts w:hint="eastAsia" w:ascii="楷体_GB2312" w:eastAsia="楷体_GB2312" w:cs="楷体_GB2312"/>
          <w:color w:val="000000"/>
          <w:sz w:val="32"/>
          <w:szCs w:val="32"/>
          <w:shd w:val="clear" w:color="auto" w:fill="FFFFFF"/>
          <w:lang w:val="en-US" w:eastAsia="zh-CN"/>
        </w:rPr>
        <w:t>5、优化药品供应保障，切实提升县域药事服务能力。一是</w:t>
      </w:r>
      <w:r>
        <w:rPr>
          <w:rFonts w:hint="eastAsia" w:ascii="楷体_GB2312" w:eastAsia="楷体_GB2312" w:cs="楷体_GB2312"/>
          <w:color w:val="000000"/>
          <w:sz w:val="32"/>
          <w:szCs w:val="32"/>
          <w:shd w:val="clear" w:color="auto" w:fill="FFFFFF"/>
        </w:rPr>
        <w:t>加强药品供应保障</w:t>
      </w:r>
      <w:r>
        <w:rPr>
          <w:rFonts w:hint="eastAsia" w:ascii="楷体_GB2312" w:eastAsia="楷体_GB2312" w:cs="楷体_GB2312"/>
          <w:color w:val="000000"/>
          <w:sz w:val="32"/>
          <w:szCs w:val="32"/>
          <w:shd w:val="clear" w:color="auto" w:fill="FFFFFF"/>
          <w:lang w:eastAsia="zh-CN"/>
        </w:rPr>
        <w:t>。成立了辰溪县县域紧密型医共体药事管理委员会</w:t>
      </w:r>
      <w:r>
        <w:rPr>
          <w:rFonts w:hint="eastAsia" w:ascii="楷体_GB2312" w:eastAsia="楷体_GB2312" w:cs="楷体_GB2312"/>
          <w:color w:val="000000"/>
          <w:sz w:val="32"/>
          <w:szCs w:val="32"/>
          <w:shd w:val="clear" w:color="auto" w:fill="FFFFFF"/>
        </w:rPr>
        <w:t>，</w:t>
      </w:r>
      <w:r>
        <w:rPr>
          <w:rFonts w:hint="eastAsia" w:ascii="楷体_GB2312" w:eastAsia="楷体_GB2312" w:cs="楷体_GB2312"/>
          <w:color w:val="000000"/>
          <w:sz w:val="32"/>
          <w:szCs w:val="32"/>
          <w:shd w:val="clear" w:color="auto" w:fill="FFFFFF"/>
          <w:lang w:eastAsia="zh-CN"/>
        </w:rPr>
        <w:t>制定了《辰溪县紧密型县域医共体药品联动管理实施方案》，建立健全了县域医共体药品联动管理机制。二是</w:t>
      </w:r>
      <w:r>
        <w:rPr>
          <w:rFonts w:hint="eastAsia" w:ascii="楷体_GB2312" w:eastAsia="楷体_GB2312" w:cs="楷体_GB2312"/>
          <w:color w:val="000000"/>
          <w:sz w:val="32"/>
          <w:szCs w:val="32"/>
          <w:shd w:val="clear" w:color="auto" w:fill="FFFFFF"/>
        </w:rPr>
        <w:t>推进药品集中采购</w:t>
      </w:r>
      <w:r>
        <w:rPr>
          <w:rFonts w:hint="eastAsia" w:ascii="楷体_GB2312" w:eastAsia="楷体_GB2312" w:cs="楷体_GB2312"/>
          <w:color w:val="000000"/>
          <w:sz w:val="32"/>
          <w:szCs w:val="32"/>
          <w:shd w:val="clear" w:color="auto" w:fill="FFFFFF"/>
          <w:lang w:eastAsia="zh-CN"/>
        </w:rPr>
        <w:t>。全年共采购药品</w:t>
      </w:r>
      <w:r>
        <w:rPr>
          <w:rFonts w:hint="eastAsia" w:ascii="楷体_GB2312" w:eastAsia="楷体_GB2312" w:cs="楷体_GB2312"/>
          <w:color w:val="000000"/>
          <w:sz w:val="32"/>
          <w:szCs w:val="32"/>
          <w:shd w:val="clear" w:color="auto" w:fill="FFFFFF"/>
          <w:lang w:val="en-US" w:eastAsia="zh-CN"/>
        </w:rPr>
        <w:t>9428万元，</w:t>
      </w:r>
      <w:r>
        <w:rPr>
          <w:rFonts w:hint="eastAsia" w:ascii="楷体_GB2312" w:eastAsia="楷体_GB2312" w:cs="楷体_GB2312"/>
          <w:color w:val="000000"/>
          <w:sz w:val="32"/>
          <w:szCs w:val="32"/>
          <w:shd w:val="clear" w:color="auto" w:fill="FFFFFF"/>
        </w:rPr>
        <w:t>通过集中带量采购，降低了药品采购成本，提高了采购效率。同时，加强了对采购药品的质量监管，确保了药品质量安全。</w:t>
      </w:r>
      <w:r>
        <w:rPr>
          <w:rFonts w:hint="eastAsia" w:ascii="楷体_GB2312" w:eastAsia="楷体_GB2312" w:cs="楷体_GB2312"/>
          <w:color w:val="000000"/>
          <w:sz w:val="32"/>
          <w:szCs w:val="32"/>
          <w:shd w:val="clear" w:color="auto" w:fill="FFFFFF"/>
          <w:lang w:eastAsia="zh-CN"/>
        </w:rPr>
        <w:t>三是</w:t>
      </w:r>
      <w:r>
        <w:rPr>
          <w:rFonts w:hint="eastAsia" w:ascii="楷体_GB2312" w:eastAsia="楷体_GB2312" w:cs="楷体_GB2312"/>
          <w:color w:val="000000"/>
          <w:sz w:val="32"/>
          <w:szCs w:val="32"/>
          <w:shd w:val="clear" w:color="auto" w:fill="FFFFFF"/>
        </w:rPr>
        <w:t>强化药品使用管理</w:t>
      </w:r>
      <w:r>
        <w:rPr>
          <w:rFonts w:hint="eastAsia" w:ascii="楷体_GB2312" w:eastAsia="楷体_GB2312" w:cs="楷体_GB2312"/>
          <w:color w:val="000000"/>
          <w:sz w:val="32"/>
          <w:szCs w:val="32"/>
          <w:shd w:val="clear" w:color="auto" w:fill="FFFFFF"/>
          <w:lang w:eastAsia="zh-CN"/>
        </w:rPr>
        <w:t>。开展了</w:t>
      </w:r>
      <w:r>
        <w:rPr>
          <w:rFonts w:hint="eastAsia" w:ascii="楷体_GB2312" w:eastAsia="楷体_GB2312" w:cs="楷体_GB2312"/>
          <w:color w:val="000000"/>
          <w:sz w:val="32"/>
          <w:szCs w:val="32"/>
          <w:shd w:val="clear" w:color="auto" w:fill="FFFFFF"/>
          <w:lang w:val="en-US" w:eastAsia="zh-CN"/>
        </w:rPr>
        <w:t>2次全面督查，</w:t>
      </w:r>
      <w:r>
        <w:rPr>
          <w:rFonts w:hint="eastAsia" w:ascii="楷体_GB2312" w:eastAsia="楷体_GB2312" w:cs="楷体_GB2312"/>
          <w:color w:val="000000"/>
          <w:sz w:val="32"/>
          <w:szCs w:val="32"/>
          <w:shd w:val="clear" w:color="auto" w:fill="FFFFFF"/>
        </w:rPr>
        <w:t>加强了医疗机构药品使用管理，规范了药品采购、验收、储存、发放和使用等各个环节。</w:t>
      </w:r>
      <w:r>
        <w:rPr>
          <w:rFonts w:hint="eastAsia" w:ascii="楷体_GB2312" w:eastAsia="楷体_GB2312" w:cs="楷体_GB2312"/>
          <w:color w:val="000000"/>
          <w:sz w:val="32"/>
          <w:szCs w:val="32"/>
          <w:shd w:val="clear" w:color="auto" w:fill="FFFFFF"/>
          <w:lang w:eastAsia="zh-CN"/>
        </w:rPr>
        <w:t>四是强化</w:t>
      </w:r>
      <w:r>
        <w:rPr>
          <w:rFonts w:hint="eastAsia" w:ascii="楷体_GB2312" w:eastAsia="楷体_GB2312" w:cs="楷体_GB2312"/>
          <w:color w:val="000000"/>
          <w:sz w:val="32"/>
          <w:szCs w:val="32"/>
          <w:shd w:val="clear" w:color="auto" w:fill="FFFFFF"/>
        </w:rPr>
        <w:t>处方点评</w:t>
      </w:r>
      <w:r>
        <w:rPr>
          <w:rFonts w:hint="eastAsia" w:ascii="楷体_GB2312" w:eastAsia="楷体_GB2312" w:cs="楷体_GB2312"/>
          <w:color w:val="000000"/>
          <w:sz w:val="32"/>
          <w:szCs w:val="32"/>
          <w:shd w:val="clear" w:color="auto" w:fill="FFFFFF"/>
          <w:lang w:eastAsia="zh-CN"/>
        </w:rPr>
        <w:t>。提升</w:t>
      </w:r>
      <w:r>
        <w:rPr>
          <w:rFonts w:hint="eastAsia" w:ascii="楷体_GB2312" w:eastAsia="楷体_GB2312" w:cs="楷体_GB2312"/>
          <w:color w:val="000000"/>
          <w:sz w:val="32"/>
          <w:szCs w:val="32"/>
          <w:shd w:val="clear" w:color="auto" w:fill="FFFFFF"/>
        </w:rPr>
        <w:t>临床用药监测</w:t>
      </w:r>
      <w:r>
        <w:rPr>
          <w:rFonts w:hint="eastAsia" w:ascii="楷体_GB2312" w:eastAsia="楷体_GB2312" w:cs="楷体_GB2312"/>
          <w:color w:val="000000"/>
          <w:sz w:val="32"/>
          <w:szCs w:val="32"/>
          <w:shd w:val="clear" w:color="auto" w:fill="FFFFFF"/>
          <w:lang w:eastAsia="zh-CN"/>
        </w:rPr>
        <w:t>力度</w:t>
      </w:r>
      <w:r>
        <w:rPr>
          <w:rFonts w:hint="eastAsia" w:ascii="楷体_GB2312" w:eastAsia="楷体_GB2312" w:cs="楷体_GB2312"/>
          <w:color w:val="000000"/>
          <w:sz w:val="32"/>
          <w:szCs w:val="32"/>
          <w:shd w:val="clear" w:color="auto" w:fill="FFFFFF"/>
        </w:rPr>
        <w:t>，提高了临床合理用药水平。</w:t>
      </w:r>
      <w:r>
        <w:rPr>
          <w:rFonts w:hint="eastAsia" w:ascii="楷体_GB2312" w:eastAsia="楷体_GB2312" w:cs="楷体_GB2312"/>
          <w:color w:val="000000"/>
          <w:sz w:val="32"/>
          <w:szCs w:val="32"/>
          <w:shd w:val="clear" w:color="auto" w:fill="FFFFFF"/>
          <w:lang w:eastAsia="zh-CN"/>
        </w:rPr>
        <w:t>全年共开展</w:t>
      </w:r>
      <w:r>
        <w:rPr>
          <w:rFonts w:hint="eastAsia" w:ascii="楷体_GB2312" w:eastAsia="楷体_GB2312" w:cs="楷体_GB2312"/>
          <w:color w:val="000000"/>
          <w:sz w:val="32"/>
          <w:szCs w:val="32"/>
          <w:shd w:val="clear" w:color="auto" w:fill="FFFFFF"/>
          <w:lang w:val="en-US" w:eastAsia="zh-CN"/>
        </w:rPr>
        <w:t>4次县级处方点评，点评处方6325张，合格率84.32%。五是规范开展国家基本药物制度绩效评价。年内共拨付基本药物补助资金936.86万元，其中：县级公立医院补助资金235万元、基层医疗机构补助资金701.86万元。</w:t>
      </w:r>
    </w:p>
    <w:p w14:paraId="3D4273A7">
      <w:pPr>
        <w:snapToGrid w:val="0"/>
        <w:spacing w:line="520" w:lineRule="exact"/>
        <w:ind w:firstLine="640"/>
        <w:rPr>
          <w:rFonts w:hint="eastAsia"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二、部门整体支出管理及使用情况</w:t>
      </w:r>
    </w:p>
    <w:p w14:paraId="395B98E6">
      <w:pPr>
        <w:pStyle w:val="7"/>
        <w:widowControl/>
        <w:shd w:val="clear" w:color="auto" w:fill="FFFFFF"/>
        <w:snapToGrid w:val="0"/>
        <w:spacing w:beforeAutospacing="0" w:afterAutospacing="0" w:line="520" w:lineRule="exact"/>
        <w:ind w:firstLine="640"/>
        <w:rPr>
          <w:rFonts w:hint="eastAsia"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w:t>
      </w:r>
      <w:r>
        <w:rPr>
          <w:rFonts w:hint="eastAsia" w:ascii="楷体_GB2312" w:eastAsia="楷体_GB2312" w:cs="楷体_GB2312"/>
          <w:color w:val="000000"/>
          <w:sz w:val="32"/>
          <w:szCs w:val="32"/>
          <w:shd w:val="clear" w:color="auto" w:fill="FFFFFF"/>
        </w:rPr>
        <w:t>预算执行、使用、管理总体情况。</w:t>
      </w:r>
    </w:p>
    <w:p w14:paraId="6F9BC86D">
      <w:pPr>
        <w:pStyle w:val="7"/>
        <w:widowControl/>
        <w:shd w:val="clear" w:color="auto" w:fill="FFFFFF"/>
        <w:snapToGrid w:val="0"/>
        <w:spacing w:beforeAutospacing="0" w:afterAutospacing="0" w:line="520" w:lineRule="exact"/>
        <w:ind w:firstLine="64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我局有健全的财务管理制度、资产管理制度、内部控制制度等，202</w:t>
      </w:r>
      <w:r>
        <w:rPr>
          <w:rFonts w:hint="eastAsia" w:ascii="楷体_GB2312" w:eastAsia="楷体_GB2312" w:cs="楷体_GB2312"/>
          <w:color w:val="000000"/>
          <w:sz w:val="32"/>
          <w:szCs w:val="32"/>
          <w:shd w:val="clear" w:color="auto" w:fill="FFFFFF"/>
          <w:lang w:val="en-US" w:eastAsia="zh-CN"/>
        </w:rPr>
        <w:t>4</w:t>
      </w:r>
      <w:r>
        <w:rPr>
          <w:rFonts w:hint="eastAsia" w:ascii="楷体_GB2312" w:eastAsia="楷体_GB2312" w:cs="楷体_GB2312"/>
          <w:color w:val="000000"/>
          <w:sz w:val="32"/>
          <w:szCs w:val="32"/>
          <w:shd w:val="clear" w:color="auto" w:fill="FFFFFF"/>
        </w:rPr>
        <w:t>年卫生健康局严格按照制度执行，并对绩效目标项目实施进度、资金支出进度等情况进行阶段性跟踪管理和督促检查。本年项目实施（完成）的进度为100%，质量全部达标。</w:t>
      </w:r>
      <w:r>
        <w:rPr>
          <w:rFonts w:hint="eastAsia" w:ascii="楷体_GB2312" w:eastAsia="楷体_GB2312" w:cs="楷体_GB2312"/>
          <w:color w:val="000000"/>
          <w:sz w:val="32"/>
          <w:szCs w:val="32"/>
          <w:shd w:val="clear" w:color="auto" w:fill="FFFFFF"/>
          <w:lang w:val="en-US" w:eastAsia="zh-CN"/>
        </w:rPr>
        <w:t>1、</w:t>
      </w:r>
      <w:r>
        <w:rPr>
          <w:rFonts w:hint="eastAsia" w:ascii="楷体_GB2312" w:eastAsia="楷体_GB2312" w:cs="楷体_GB2312"/>
          <w:color w:val="000000"/>
          <w:sz w:val="32"/>
          <w:szCs w:val="32"/>
          <w:shd w:val="clear" w:color="auto" w:fill="FFFFFF"/>
        </w:rPr>
        <w:t>项目有效性：本年项目资金使用后全部达到预期效果。项目可持续性：本年项目完成后，对社会有良好影响，达到可持续发展目的。</w:t>
      </w:r>
      <w:r>
        <w:rPr>
          <w:rFonts w:hint="eastAsia" w:ascii="楷体_GB2312" w:eastAsia="楷体_GB2312" w:cs="楷体_GB2312"/>
          <w:color w:val="000000"/>
          <w:sz w:val="32"/>
          <w:szCs w:val="32"/>
          <w:shd w:val="clear" w:color="auto" w:fill="FFFFFF"/>
          <w:lang w:val="en-US" w:eastAsia="zh-CN"/>
        </w:rPr>
        <w:t>2、</w:t>
      </w:r>
      <w:r>
        <w:rPr>
          <w:rFonts w:hint="eastAsia" w:ascii="楷体_GB2312" w:eastAsia="楷体_GB2312" w:cs="楷体_GB2312"/>
          <w:color w:val="000000"/>
          <w:sz w:val="32"/>
          <w:szCs w:val="32"/>
          <w:shd w:val="clear" w:color="auto" w:fill="FFFFFF"/>
        </w:rPr>
        <w:t>专项管理方面的问题</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rPr>
        <w:t>我局专项立项依据充分</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rPr>
        <w:t>有规范的资金管理办法。</w:t>
      </w:r>
      <w:r>
        <w:rPr>
          <w:rFonts w:hint="eastAsia" w:ascii="楷体_GB2312" w:eastAsia="楷体_GB2312" w:cs="楷体_GB2312"/>
          <w:color w:val="000000"/>
          <w:sz w:val="32"/>
          <w:szCs w:val="32"/>
          <w:shd w:val="clear" w:color="auto" w:fill="FFFFFF"/>
          <w:lang w:val="en-US" w:eastAsia="zh-CN"/>
        </w:rPr>
        <w:t>3、</w:t>
      </w:r>
      <w:r>
        <w:rPr>
          <w:rFonts w:hint="eastAsia" w:ascii="楷体_GB2312" w:eastAsia="楷体_GB2312" w:cs="楷体_GB2312"/>
          <w:color w:val="000000"/>
          <w:sz w:val="32"/>
          <w:szCs w:val="32"/>
          <w:shd w:val="clear" w:color="auto" w:fill="FFFFFF"/>
        </w:rPr>
        <w:t>资金分配方面的问题</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rPr>
        <w:t>我局资金分配合理，突出重点，公平公正；无散小差现象；资金分配和使用方向与资金管理办法相符。</w:t>
      </w:r>
      <w:r>
        <w:rPr>
          <w:rFonts w:hint="eastAsia" w:ascii="楷体_GB2312" w:eastAsia="楷体_GB2312" w:cs="楷体_GB2312"/>
          <w:color w:val="000000"/>
          <w:sz w:val="32"/>
          <w:szCs w:val="32"/>
          <w:shd w:val="clear" w:color="auto" w:fill="FFFFFF"/>
          <w:lang w:val="en-US" w:eastAsia="zh-CN"/>
        </w:rPr>
        <w:t>4、</w:t>
      </w:r>
      <w:r>
        <w:rPr>
          <w:rFonts w:hint="eastAsia" w:ascii="楷体_GB2312" w:eastAsia="楷体_GB2312" w:cs="楷体_GB2312"/>
          <w:color w:val="000000"/>
          <w:sz w:val="32"/>
          <w:szCs w:val="32"/>
          <w:shd w:val="clear" w:color="auto" w:fill="FFFFFF"/>
        </w:rPr>
        <w:t>资金拨付方面的问题</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rPr>
        <w:t>我局资金拨付及时，无滞留、闲置现象。资金使用方面的问题</w:t>
      </w:r>
      <w:r>
        <w:rPr>
          <w:rFonts w:hint="eastAsia" w:ascii="楷体_GB2312" w:eastAsia="楷体_GB2312" w:cs="楷体_GB2312"/>
          <w:color w:val="000000"/>
          <w:sz w:val="32"/>
          <w:szCs w:val="32"/>
          <w:shd w:val="clear" w:color="auto" w:fill="FFFFFF"/>
          <w:lang w:eastAsia="zh-CN"/>
        </w:rPr>
        <w:t>；</w:t>
      </w:r>
      <w:r>
        <w:rPr>
          <w:rFonts w:hint="eastAsia" w:ascii="楷体_GB2312" w:eastAsia="楷体_GB2312" w:cs="楷体_GB2312"/>
          <w:color w:val="000000"/>
          <w:sz w:val="32"/>
          <w:szCs w:val="32"/>
          <w:shd w:val="clear" w:color="auto" w:fill="FFFFFF"/>
        </w:rPr>
        <w:t>我局资金使用合规，无截留、挪用等现象，资金使用能产生了良好的效益。</w:t>
      </w:r>
    </w:p>
    <w:p w14:paraId="0A05711F">
      <w:pPr>
        <w:pStyle w:val="7"/>
        <w:widowControl/>
        <w:shd w:val="clear" w:color="auto" w:fill="FFFFFF"/>
        <w:snapToGrid w:val="0"/>
        <w:spacing w:beforeAutospacing="0" w:afterAutospacing="0" w:line="520" w:lineRule="exact"/>
        <w:ind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（二）部门预算执行情况</w:t>
      </w:r>
    </w:p>
    <w:p w14:paraId="42D7BF01">
      <w:pPr>
        <w:widowControl/>
        <w:ind w:firstLine="630"/>
        <w:rPr>
          <w:rFonts w:hint="eastAsia" w:ascii="楷体" w:hAnsi="楷体" w:eastAsia="楷体" w:cs="Times New Roman"/>
          <w:b/>
          <w:spacing w:val="-2"/>
          <w:sz w:val="32"/>
          <w:szCs w:val="32"/>
        </w:rPr>
      </w:pPr>
      <w:r>
        <w:rPr>
          <w:rFonts w:hint="eastAsia" w:ascii="仿宋" w:hAnsi="仿宋" w:eastAsia="仿宋" w:cs="Times New Roman"/>
          <w:b/>
          <w:spacing w:val="-2"/>
          <w:sz w:val="32"/>
          <w:szCs w:val="32"/>
        </w:rPr>
        <w:t>1、</w:t>
      </w:r>
      <w:r>
        <w:rPr>
          <w:rFonts w:hint="eastAsia" w:ascii="楷体" w:hAnsi="楷体" w:eastAsia="楷体" w:cs="Times New Roman"/>
          <w:b/>
          <w:spacing w:val="-2"/>
          <w:sz w:val="32"/>
          <w:szCs w:val="32"/>
        </w:rPr>
        <w:t>基本支出情况</w:t>
      </w:r>
    </w:p>
    <w:p w14:paraId="69C75D22">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2024年总收入24892.81万元，其中财政拨入24892.81万元。基本支出1</w:t>
      </w:r>
      <w:r>
        <w:rPr>
          <w:rFonts w:hint="eastAsia" w:ascii="楷体_GB2312" w:eastAsia="楷体_GB2312" w:cs="楷体_GB2312"/>
          <w:color w:val="000000"/>
          <w:kern w:val="0"/>
          <w:sz w:val="32"/>
          <w:szCs w:val="32"/>
          <w:shd w:val="clear" w:color="auto" w:fill="FFFFFF"/>
          <w:lang w:val="en-US" w:eastAsia="zh-CN" w:bidi="ar-SA"/>
        </w:rPr>
        <w:t>7743.188</w:t>
      </w:r>
      <w:r>
        <w:rPr>
          <w:rFonts w:hint="eastAsia" w:ascii="楷体_GB2312" w:eastAsia="楷体_GB2312" w:cs="楷体_GB2312" w:hAnsiTheme="minorHAnsi"/>
          <w:color w:val="000000"/>
          <w:kern w:val="0"/>
          <w:sz w:val="32"/>
          <w:szCs w:val="32"/>
          <w:shd w:val="clear" w:color="auto" w:fill="FFFFFF"/>
          <w:lang w:val="en-US" w:eastAsia="zh-CN" w:bidi="ar-SA"/>
        </w:rPr>
        <w:t>万元，其中：人员经费2628.56万元，占基本支出的1</w:t>
      </w:r>
      <w:r>
        <w:rPr>
          <w:rFonts w:hint="eastAsia" w:ascii="楷体_GB2312" w:eastAsia="楷体_GB2312" w:cs="楷体_GB2312"/>
          <w:color w:val="000000"/>
          <w:kern w:val="0"/>
          <w:sz w:val="32"/>
          <w:szCs w:val="32"/>
          <w:shd w:val="clear" w:color="auto" w:fill="FFFFFF"/>
          <w:lang w:val="en-US" w:eastAsia="zh-CN" w:bidi="ar-SA"/>
        </w:rPr>
        <w:t>4.81</w:t>
      </w:r>
      <w:r>
        <w:rPr>
          <w:rFonts w:hint="eastAsia" w:ascii="楷体_GB2312" w:eastAsia="楷体_GB2312" w:cs="楷体_GB2312" w:hAnsiTheme="minorHAnsi"/>
          <w:color w:val="000000"/>
          <w:kern w:val="0"/>
          <w:sz w:val="32"/>
          <w:szCs w:val="32"/>
          <w:shd w:val="clear" w:color="auto" w:fill="FFFFFF"/>
          <w:lang w:val="en-US" w:eastAsia="zh-CN" w:bidi="ar-SA"/>
        </w:rPr>
        <w:t>%,主要包括基本工资、津贴补贴、奖金、伙食补助费、其他对个人和家庭的补助等；公用经费1</w:t>
      </w:r>
      <w:r>
        <w:rPr>
          <w:rFonts w:hint="eastAsia" w:ascii="楷体_GB2312" w:eastAsia="楷体_GB2312" w:cs="楷体_GB2312"/>
          <w:color w:val="000000"/>
          <w:kern w:val="0"/>
          <w:sz w:val="32"/>
          <w:szCs w:val="32"/>
          <w:shd w:val="clear" w:color="auto" w:fill="FFFFFF"/>
          <w:lang w:val="en-US" w:eastAsia="zh-CN" w:bidi="ar-SA"/>
        </w:rPr>
        <w:t>5114.628</w:t>
      </w:r>
      <w:r>
        <w:rPr>
          <w:rFonts w:hint="eastAsia" w:ascii="楷体_GB2312" w:eastAsia="楷体_GB2312" w:cs="楷体_GB2312" w:hAnsiTheme="minorHAnsi"/>
          <w:color w:val="000000"/>
          <w:kern w:val="0"/>
          <w:sz w:val="32"/>
          <w:szCs w:val="32"/>
          <w:shd w:val="clear" w:color="auto" w:fill="FFFFFF"/>
          <w:lang w:val="en-US" w:eastAsia="zh-CN" w:bidi="ar-SA"/>
        </w:rPr>
        <w:t>万元，占基本支出的8</w:t>
      </w:r>
      <w:r>
        <w:rPr>
          <w:rFonts w:hint="eastAsia" w:ascii="楷体_GB2312" w:eastAsia="楷体_GB2312" w:cs="楷体_GB2312"/>
          <w:color w:val="000000"/>
          <w:kern w:val="0"/>
          <w:sz w:val="32"/>
          <w:szCs w:val="32"/>
          <w:shd w:val="clear" w:color="auto" w:fill="FFFFFF"/>
          <w:lang w:val="en-US" w:eastAsia="zh-CN" w:bidi="ar-SA"/>
        </w:rPr>
        <w:t>5.19</w:t>
      </w:r>
      <w:r>
        <w:rPr>
          <w:rFonts w:hint="eastAsia" w:ascii="楷体_GB2312" w:eastAsia="楷体_GB2312" w:cs="楷体_GB2312" w:hAnsiTheme="minorHAnsi"/>
          <w:color w:val="000000"/>
          <w:kern w:val="0"/>
          <w:sz w:val="32"/>
          <w:szCs w:val="32"/>
          <w:shd w:val="clear" w:color="auto" w:fill="FFFFFF"/>
          <w:lang w:val="en-US" w:eastAsia="zh-CN" w:bidi="ar-SA"/>
        </w:rPr>
        <w:t>%，主要包括办公费、印刷费、咨询费、手续费、工会经费等。2024年末结余0万元。</w:t>
      </w:r>
    </w:p>
    <w:p w14:paraId="204CBE0A">
      <w:pPr>
        <w:pStyle w:val="14"/>
        <w:widowControl/>
        <w:numPr>
          <w:ilvl w:val="0"/>
          <w:numId w:val="2"/>
        </w:numPr>
        <w:shd w:val="clear" w:color="auto" w:fill="FFFFFF"/>
        <w:spacing w:line="600" w:lineRule="atLeast"/>
        <w:ind w:firstLineChars="0"/>
        <w:rPr>
          <w:rFonts w:hint="eastAsia" w:ascii="楷体" w:hAnsi="楷体" w:eastAsia="楷体" w:cs="Times New Roman"/>
          <w:b/>
          <w:spacing w:val="-2"/>
          <w:sz w:val="32"/>
          <w:szCs w:val="32"/>
        </w:rPr>
      </w:pPr>
      <w:r>
        <w:rPr>
          <w:rFonts w:ascii="楷体" w:hAnsi="楷体" w:eastAsia="楷体" w:cs="Times New Roman"/>
          <w:b/>
          <w:spacing w:val="-2"/>
          <w:sz w:val="32"/>
          <w:szCs w:val="32"/>
        </w:rPr>
        <w:t>专项支出</w:t>
      </w:r>
      <w:r>
        <w:rPr>
          <w:rFonts w:hint="eastAsia" w:ascii="楷体" w:hAnsi="楷体" w:eastAsia="楷体" w:cs="Times New Roman"/>
          <w:b/>
          <w:spacing w:val="-2"/>
          <w:sz w:val="32"/>
          <w:szCs w:val="32"/>
        </w:rPr>
        <w:t>情况</w:t>
      </w:r>
    </w:p>
    <w:p w14:paraId="3B23538F">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2024年总收入24892.81万元，其中财政拨入24892.81万元，专项支出</w:t>
      </w:r>
      <w:r>
        <w:rPr>
          <w:rFonts w:hint="eastAsia" w:ascii="楷体_GB2312" w:eastAsia="楷体_GB2312" w:cs="楷体_GB2312"/>
          <w:color w:val="000000"/>
          <w:kern w:val="0"/>
          <w:sz w:val="32"/>
          <w:szCs w:val="32"/>
          <w:shd w:val="clear" w:color="auto" w:fill="FFFFFF"/>
          <w:lang w:val="en-US" w:eastAsia="zh-CN" w:bidi="ar-SA"/>
        </w:rPr>
        <w:t>7149.622</w:t>
      </w:r>
      <w:r>
        <w:rPr>
          <w:rFonts w:hint="eastAsia" w:ascii="楷体_GB2312" w:eastAsia="楷体_GB2312" w:cs="楷体_GB2312" w:hAnsiTheme="minorHAnsi"/>
          <w:color w:val="000000"/>
          <w:kern w:val="0"/>
          <w:sz w:val="32"/>
          <w:szCs w:val="32"/>
          <w:shd w:val="clear" w:color="auto" w:fill="FFFFFF"/>
          <w:lang w:val="en-US" w:eastAsia="zh-CN" w:bidi="ar-SA"/>
        </w:rPr>
        <w:t>万元。</w:t>
      </w:r>
    </w:p>
    <w:p w14:paraId="55496B31">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1、基本公共卫生服务：2024年资金预算3806.58万元，2024年决算支出3806.58万元，预算执行率100%。</w:t>
      </w:r>
    </w:p>
    <w:p w14:paraId="7CA21342">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2、计划生育专项：2024年资金预算1935万元，2024年决算支出1935万元，预算执行率100%。</w:t>
      </w:r>
    </w:p>
    <w:p w14:paraId="70C9D0B9">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3、村卫生室运行：2024年资金预算163.20万元，2023年决算支出163.20万元，预算执行率100%。</w:t>
      </w:r>
    </w:p>
    <w:p w14:paraId="09592BE4">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4、重症精神病人救治：2024年资金预算</w:t>
      </w:r>
      <w:r>
        <w:rPr>
          <w:rFonts w:hint="eastAsia" w:ascii="楷体_GB2312" w:eastAsia="楷体_GB2312" w:cs="楷体_GB2312"/>
          <w:color w:val="000000"/>
          <w:kern w:val="0"/>
          <w:sz w:val="32"/>
          <w:szCs w:val="32"/>
          <w:shd w:val="clear" w:color="auto" w:fill="FFFFFF"/>
          <w:lang w:val="en-US" w:eastAsia="zh-CN" w:bidi="ar-SA"/>
        </w:rPr>
        <w:t>491.51</w:t>
      </w:r>
      <w:r>
        <w:rPr>
          <w:rFonts w:hint="eastAsia" w:ascii="楷体_GB2312" w:eastAsia="楷体_GB2312" w:cs="楷体_GB2312" w:hAnsiTheme="minorHAnsi"/>
          <w:color w:val="000000"/>
          <w:kern w:val="0"/>
          <w:sz w:val="32"/>
          <w:szCs w:val="32"/>
          <w:shd w:val="clear" w:color="auto" w:fill="FFFFFF"/>
          <w:lang w:val="en-US" w:eastAsia="zh-CN" w:bidi="ar-SA"/>
        </w:rPr>
        <w:t>万元，2024年决算支出26</w:t>
      </w:r>
      <w:r>
        <w:rPr>
          <w:rFonts w:hint="eastAsia" w:ascii="楷体_GB2312" w:eastAsia="楷体_GB2312" w:cs="楷体_GB2312"/>
          <w:color w:val="000000"/>
          <w:kern w:val="0"/>
          <w:sz w:val="32"/>
          <w:szCs w:val="32"/>
          <w:shd w:val="clear" w:color="auto" w:fill="FFFFFF"/>
          <w:lang w:val="en-US" w:eastAsia="zh-CN" w:bidi="ar-SA"/>
        </w:rPr>
        <w:t>1.27</w:t>
      </w:r>
      <w:r>
        <w:rPr>
          <w:rFonts w:hint="eastAsia" w:ascii="楷体_GB2312" w:eastAsia="楷体_GB2312" w:cs="楷体_GB2312" w:hAnsiTheme="minorHAnsi"/>
          <w:color w:val="000000"/>
          <w:kern w:val="0"/>
          <w:sz w:val="32"/>
          <w:szCs w:val="32"/>
          <w:shd w:val="clear" w:color="auto" w:fill="FFFFFF"/>
          <w:lang w:val="en-US" w:eastAsia="zh-CN" w:bidi="ar-SA"/>
        </w:rPr>
        <w:t>万元，预算执行率</w:t>
      </w:r>
      <w:r>
        <w:rPr>
          <w:rFonts w:hint="eastAsia" w:ascii="楷体_GB2312" w:eastAsia="楷体_GB2312" w:cs="楷体_GB2312"/>
          <w:color w:val="000000"/>
          <w:kern w:val="0"/>
          <w:sz w:val="32"/>
          <w:szCs w:val="32"/>
          <w:shd w:val="clear" w:color="auto" w:fill="FFFFFF"/>
          <w:lang w:val="en-US" w:eastAsia="zh-CN" w:bidi="ar-SA"/>
        </w:rPr>
        <w:t>53.17</w:t>
      </w:r>
      <w:r>
        <w:rPr>
          <w:rFonts w:hint="eastAsia" w:ascii="楷体_GB2312" w:eastAsia="楷体_GB2312" w:cs="楷体_GB2312" w:hAnsiTheme="minorHAnsi"/>
          <w:color w:val="000000"/>
          <w:kern w:val="0"/>
          <w:sz w:val="32"/>
          <w:szCs w:val="32"/>
          <w:shd w:val="clear" w:color="auto" w:fill="FFFFFF"/>
          <w:lang w:val="en-US" w:eastAsia="zh-CN" w:bidi="ar-SA"/>
        </w:rPr>
        <w:t>%。</w:t>
      </w:r>
    </w:p>
    <w:p w14:paraId="3CF585D9">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5、基本药物制度财政补助：2024年资金预算701.86万元，2024年决算支出701.86万元，预算执行率100%。</w:t>
      </w:r>
    </w:p>
    <w:p w14:paraId="321C9C44">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6、基层医疗卫生机构综合改革补助：2024年资金预算2800万元，2024年决算支出2</w:t>
      </w:r>
      <w:r>
        <w:rPr>
          <w:rFonts w:hint="eastAsia" w:ascii="楷体_GB2312" w:eastAsia="楷体_GB2312" w:cs="楷体_GB2312"/>
          <w:color w:val="000000"/>
          <w:kern w:val="0"/>
          <w:sz w:val="32"/>
          <w:szCs w:val="32"/>
          <w:shd w:val="clear" w:color="auto" w:fill="FFFFFF"/>
          <w:lang w:val="en-US" w:eastAsia="zh-CN" w:bidi="ar-SA"/>
        </w:rPr>
        <w:t>57.12</w:t>
      </w:r>
      <w:r>
        <w:rPr>
          <w:rFonts w:hint="eastAsia" w:ascii="楷体_GB2312" w:eastAsia="楷体_GB2312" w:cs="楷体_GB2312" w:hAnsiTheme="minorHAnsi"/>
          <w:color w:val="000000"/>
          <w:kern w:val="0"/>
          <w:sz w:val="32"/>
          <w:szCs w:val="32"/>
          <w:shd w:val="clear" w:color="auto" w:fill="FFFFFF"/>
          <w:lang w:val="en-US" w:eastAsia="zh-CN" w:bidi="ar-SA"/>
        </w:rPr>
        <w:t>万元，预算执行率</w:t>
      </w:r>
      <w:r>
        <w:rPr>
          <w:rFonts w:hint="eastAsia" w:ascii="楷体_GB2312" w:eastAsia="楷体_GB2312" w:cs="楷体_GB2312"/>
          <w:color w:val="000000"/>
          <w:kern w:val="0"/>
          <w:sz w:val="32"/>
          <w:szCs w:val="32"/>
          <w:shd w:val="clear" w:color="auto" w:fill="FFFFFF"/>
          <w:lang w:val="en-US" w:eastAsia="zh-CN" w:bidi="ar-SA"/>
        </w:rPr>
        <w:t>9.18</w:t>
      </w:r>
      <w:r>
        <w:rPr>
          <w:rFonts w:hint="eastAsia" w:ascii="楷体_GB2312" w:eastAsia="楷体_GB2312" w:cs="楷体_GB2312" w:hAnsiTheme="minorHAnsi"/>
          <w:color w:val="000000"/>
          <w:kern w:val="0"/>
          <w:sz w:val="32"/>
          <w:szCs w:val="32"/>
          <w:shd w:val="clear" w:color="auto" w:fill="FFFFFF"/>
          <w:lang w:val="en-US" w:eastAsia="zh-CN" w:bidi="ar-SA"/>
        </w:rPr>
        <w:t>%。</w:t>
      </w:r>
    </w:p>
    <w:p w14:paraId="0EA3ACA8">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7、健康辰溪：2024年资金预算</w:t>
      </w:r>
      <w:r>
        <w:rPr>
          <w:rFonts w:hint="eastAsia" w:ascii="楷体_GB2312" w:eastAsia="楷体_GB2312" w:cs="楷体_GB2312"/>
          <w:color w:val="000000"/>
          <w:kern w:val="0"/>
          <w:sz w:val="32"/>
          <w:szCs w:val="32"/>
          <w:shd w:val="clear" w:color="auto" w:fill="FFFFFF"/>
          <w:lang w:val="en-US" w:eastAsia="zh-CN" w:bidi="ar-SA"/>
        </w:rPr>
        <w:t>10</w:t>
      </w:r>
      <w:r>
        <w:rPr>
          <w:rFonts w:hint="eastAsia" w:ascii="楷体_GB2312" w:eastAsia="楷体_GB2312" w:cs="楷体_GB2312" w:hAnsiTheme="minorHAnsi"/>
          <w:color w:val="000000"/>
          <w:kern w:val="0"/>
          <w:sz w:val="32"/>
          <w:szCs w:val="32"/>
          <w:shd w:val="clear" w:color="auto" w:fill="FFFFFF"/>
          <w:lang w:val="en-US" w:eastAsia="zh-CN" w:bidi="ar-SA"/>
        </w:rPr>
        <w:t>万元，2024年决算支出</w:t>
      </w:r>
      <w:r>
        <w:rPr>
          <w:rFonts w:hint="eastAsia" w:ascii="楷体_GB2312" w:eastAsia="楷体_GB2312" w:cs="楷体_GB2312"/>
          <w:color w:val="000000"/>
          <w:kern w:val="0"/>
          <w:sz w:val="32"/>
          <w:szCs w:val="32"/>
          <w:shd w:val="clear" w:color="auto" w:fill="FFFFFF"/>
          <w:lang w:val="en-US" w:eastAsia="zh-CN" w:bidi="ar-SA"/>
        </w:rPr>
        <w:t>6.25</w:t>
      </w:r>
      <w:r>
        <w:rPr>
          <w:rFonts w:hint="eastAsia" w:ascii="楷体_GB2312" w:eastAsia="楷体_GB2312" w:cs="楷体_GB2312" w:hAnsiTheme="minorHAnsi"/>
          <w:color w:val="000000"/>
          <w:kern w:val="0"/>
          <w:sz w:val="32"/>
          <w:szCs w:val="32"/>
          <w:shd w:val="clear" w:color="auto" w:fill="FFFFFF"/>
          <w:lang w:val="en-US" w:eastAsia="zh-CN" w:bidi="ar-SA"/>
        </w:rPr>
        <w:t>万元，预算执行率</w:t>
      </w:r>
      <w:r>
        <w:rPr>
          <w:rFonts w:hint="eastAsia" w:ascii="楷体_GB2312" w:eastAsia="楷体_GB2312" w:cs="楷体_GB2312"/>
          <w:color w:val="000000"/>
          <w:kern w:val="0"/>
          <w:sz w:val="32"/>
          <w:szCs w:val="32"/>
          <w:shd w:val="clear" w:color="auto" w:fill="FFFFFF"/>
          <w:lang w:val="en-US" w:eastAsia="zh-CN" w:bidi="ar-SA"/>
        </w:rPr>
        <w:t>62.50</w:t>
      </w:r>
      <w:r>
        <w:rPr>
          <w:rFonts w:hint="eastAsia" w:ascii="楷体_GB2312" w:eastAsia="楷体_GB2312" w:cs="楷体_GB2312" w:hAnsiTheme="minorHAnsi"/>
          <w:color w:val="000000"/>
          <w:kern w:val="0"/>
          <w:sz w:val="32"/>
          <w:szCs w:val="32"/>
          <w:shd w:val="clear" w:color="auto" w:fill="FFFFFF"/>
          <w:lang w:val="en-US" w:eastAsia="zh-CN" w:bidi="ar-SA"/>
        </w:rPr>
        <w:t>%。</w:t>
      </w:r>
    </w:p>
    <w:p w14:paraId="3823553D">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8、基层卫生院整体搬迁：2024年资金预算100万元，2024年决算支出0万元，预算执行率0%。</w:t>
      </w:r>
    </w:p>
    <w:p w14:paraId="3E89E572">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9、独生子女奖励：2024年资金预算0.852万元，2024年决算支出0.852万元，预算执行率100%。</w:t>
      </w:r>
    </w:p>
    <w:p w14:paraId="4B34098D">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 xml:space="preserve">  10、爱卫办专项：2024年资金预算3万元，2024年决算支出</w:t>
      </w:r>
      <w:r>
        <w:rPr>
          <w:rFonts w:hint="eastAsia" w:ascii="楷体_GB2312" w:eastAsia="楷体_GB2312" w:cs="楷体_GB2312"/>
          <w:color w:val="000000"/>
          <w:kern w:val="0"/>
          <w:sz w:val="32"/>
          <w:szCs w:val="32"/>
          <w:shd w:val="clear" w:color="auto" w:fill="FFFFFF"/>
          <w:lang w:val="en-US" w:eastAsia="zh-CN" w:bidi="ar-SA"/>
        </w:rPr>
        <w:t>0</w:t>
      </w:r>
      <w:r>
        <w:rPr>
          <w:rFonts w:hint="eastAsia" w:ascii="楷体_GB2312" w:eastAsia="楷体_GB2312" w:cs="楷体_GB2312" w:hAnsiTheme="minorHAnsi"/>
          <w:color w:val="000000"/>
          <w:kern w:val="0"/>
          <w:sz w:val="32"/>
          <w:szCs w:val="32"/>
          <w:shd w:val="clear" w:color="auto" w:fill="FFFFFF"/>
          <w:lang w:val="en-US" w:eastAsia="zh-CN" w:bidi="ar-SA"/>
        </w:rPr>
        <w:t>万元，预算执行率0%。</w:t>
      </w:r>
    </w:p>
    <w:p w14:paraId="265F3679">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 xml:space="preserve">  11、卫生核算中心工作经费：2024年资金预算11万元，2024年决算支出</w:t>
      </w:r>
      <w:r>
        <w:rPr>
          <w:rFonts w:hint="eastAsia" w:ascii="楷体_GB2312" w:eastAsia="楷体_GB2312" w:cs="楷体_GB2312"/>
          <w:color w:val="000000"/>
          <w:kern w:val="0"/>
          <w:sz w:val="32"/>
          <w:szCs w:val="32"/>
          <w:shd w:val="clear" w:color="auto" w:fill="FFFFFF"/>
          <w:lang w:val="en-US" w:eastAsia="zh-CN" w:bidi="ar-SA"/>
        </w:rPr>
        <w:t>7.49</w:t>
      </w:r>
      <w:r>
        <w:rPr>
          <w:rFonts w:hint="eastAsia" w:ascii="楷体_GB2312" w:eastAsia="楷体_GB2312" w:cs="楷体_GB2312" w:hAnsiTheme="minorHAnsi"/>
          <w:color w:val="000000"/>
          <w:kern w:val="0"/>
          <w:sz w:val="32"/>
          <w:szCs w:val="32"/>
          <w:shd w:val="clear" w:color="auto" w:fill="FFFFFF"/>
          <w:lang w:val="en-US" w:eastAsia="zh-CN" w:bidi="ar-SA"/>
        </w:rPr>
        <w:t>万元，预算执行率</w:t>
      </w:r>
      <w:r>
        <w:rPr>
          <w:rFonts w:hint="eastAsia" w:ascii="楷体_GB2312" w:eastAsia="楷体_GB2312" w:cs="楷体_GB2312"/>
          <w:color w:val="000000"/>
          <w:kern w:val="0"/>
          <w:sz w:val="32"/>
          <w:szCs w:val="32"/>
          <w:shd w:val="clear" w:color="auto" w:fill="FFFFFF"/>
          <w:lang w:val="en-US" w:eastAsia="zh-CN" w:bidi="ar-SA"/>
        </w:rPr>
        <w:t>68.09</w:t>
      </w:r>
      <w:r>
        <w:rPr>
          <w:rFonts w:hint="eastAsia" w:ascii="楷体_GB2312" w:eastAsia="楷体_GB2312" w:cs="楷体_GB2312" w:hAnsiTheme="minorHAnsi"/>
          <w:color w:val="000000"/>
          <w:kern w:val="0"/>
          <w:sz w:val="32"/>
          <w:szCs w:val="32"/>
          <w:shd w:val="clear" w:color="auto" w:fill="FFFFFF"/>
          <w:lang w:val="en-US" w:eastAsia="zh-CN" w:bidi="ar-SA"/>
        </w:rPr>
        <w:t>%。</w:t>
      </w:r>
    </w:p>
    <w:p w14:paraId="31F87532">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 xml:space="preserve">  12、病媒生物防治采购：2024年资金预算</w:t>
      </w:r>
      <w:r>
        <w:rPr>
          <w:rFonts w:hint="eastAsia" w:ascii="楷体_GB2312" w:eastAsia="楷体_GB2312" w:cs="楷体_GB2312"/>
          <w:color w:val="000000"/>
          <w:kern w:val="0"/>
          <w:sz w:val="32"/>
          <w:szCs w:val="32"/>
          <w:shd w:val="clear" w:color="auto" w:fill="FFFFFF"/>
          <w:lang w:val="en-US" w:eastAsia="zh-CN" w:bidi="ar-SA"/>
        </w:rPr>
        <w:t>52.37</w:t>
      </w:r>
      <w:r>
        <w:rPr>
          <w:rFonts w:hint="eastAsia" w:ascii="楷体_GB2312" w:eastAsia="楷体_GB2312" w:cs="楷体_GB2312" w:hAnsiTheme="minorHAnsi"/>
          <w:color w:val="000000"/>
          <w:kern w:val="0"/>
          <w:sz w:val="32"/>
          <w:szCs w:val="32"/>
          <w:shd w:val="clear" w:color="auto" w:fill="FFFFFF"/>
          <w:lang w:val="en-US" w:eastAsia="zh-CN" w:bidi="ar-SA"/>
        </w:rPr>
        <w:t>万元，2024年决算支出</w:t>
      </w:r>
      <w:r>
        <w:rPr>
          <w:rFonts w:hint="eastAsia" w:ascii="楷体_GB2312" w:eastAsia="楷体_GB2312" w:cs="楷体_GB2312"/>
          <w:color w:val="000000"/>
          <w:kern w:val="0"/>
          <w:sz w:val="32"/>
          <w:szCs w:val="32"/>
          <w:shd w:val="clear" w:color="auto" w:fill="FFFFFF"/>
          <w:lang w:val="en-US" w:eastAsia="zh-CN" w:bidi="ar-SA"/>
        </w:rPr>
        <w:t>10</w:t>
      </w:r>
      <w:r>
        <w:rPr>
          <w:rFonts w:hint="eastAsia" w:ascii="楷体_GB2312" w:eastAsia="楷体_GB2312" w:cs="楷体_GB2312" w:hAnsiTheme="minorHAnsi"/>
          <w:color w:val="000000"/>
          <w:kern w:val="0"/>
          <w:sz w:val="32"/>
          <w:szCs w:val="32"/>
          <w:shd w:val="clear" w:color="auto" w:fill="FFFFFF"/>
          <w:lang w:val="en-US" w:eastAsia="zh-CN" w:bidi="ar-SA"/>
        </w:rPr>
        <w:t>万元，预算执行率</w:t>
      </w:r>
      <w:r>
        <w:rPr>
          <w:rFonts w:hint="eastAsia" w:ascii="楷体_GB2312" w:eastAsia="楷体_GB2312" w:cs="楷体_GB2312"/>
          <w:color w:val="000000"/>
          <w:kern w:val="0"/>
          <w:sz w:val="32"/>
          <w:szCs w:val="32"/>
          <w:shd w:val="clear" w:color="auto" w:fill="FFFFFF"/>
          <w:lang w:val="en-US" w:eastAsia="zh-CN" w:bidi="ar-SA"/>
        </w:rPr>
        <w:t>19.09</w:t>
      </w:r>
      <w:r>
        <w:rPr>
          <w:rFonts w:hint="eastAsia" w:ascii="楷体_GB2312" w:eastAsia="楷体_GB2312" w:cs="楷体_GB2312" w:hAnsiTheme="minorHAnsi"/>
          <w:color w:val="000000"/>
          <w:kern w:val="0"/>
          <w:sz w:val="32"/>
          <w:szCs w:val="32"/>
          <w:shd w:val="clear" w:color="auto" w:fill="FFFFFF"/>
          <w:lang w:val="en-US" w:eastAsia="zh-CN" w:bidi="ar-SA"/>
        </w:rPr>
        <w:t>%。</w:t>
      </w:r>
    </w:p>
    <w:p w14:paraId="6D95D665">
      <w:pPr>
        <w:widowControl/>
        <w:ind w:firstLine="63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 xml:space="preserve">  13、医疗废弃物处理：2024年资金预算20万元，2024年决算支出0万元，预算执行率0%。</w:t>
      </w:r>
    </w:p>
    <w:p w14:paraId="294950E1">
      <w:pPr>
        <w:pStyle w:val="7"/>
        <w:widowControl/>
        <w:shd w:val="clear" w:color="auto" w:fill="FFFFFF"/>
        <w:snapToGrid w:val="0"/>
        <w:spacing w:beforeAutospacing="0" w:afterAutospacing="0" w:line="520" w:lineRule="exact"/>
        <w:ind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（三）"三公"经费使用和管理情况</w:t>
      </w:r>
    </w:p>
    <w:p w14:paraId="1B66F19A">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本单位2024年"三公"经费总支出1.14万元，全部为公务接待费。</w:t>
      </w:r>
    </w:p>
    <w:p w14:paraId="7149A791">
      <w:pPr>
        <w:pStyle w:val="7"/>
        <w:widowControl/>
        <w:shd w:val="clear" w:color="auto" w:fill="FFFFFF"/>
        <w:snapToGrid w:val="0"/>
        <w:spacing w:beforeAutospacing="0" w:afterAutospacing="0" w:line="520" w:lineRule="exact"/>
        <w:ind w:firstLine="64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三、政府性基金预算支出情况</w:t>
      </w:r>
    </w:p>
    <w:p w14:paraId="3C1BE7B0">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本单位2024年政府性基金拨款10100万元，支出10100万元，主要是第一人民医院特别国债资金10100万元。</w:t>
      </w:r>
    </w:p>
    <w:p w14:paraId="1B9BA5D3">
      <w:pPr>
        <w:pStyle w:val="7"/>
        <w:widowControl/>
        <w:shd w:val="clear" w:color="auto" w:fill="FFFFFF"/>
        <w:snapToGrid w:val="0"/>
        <w:spacing w:beforeAutospacing="0" w:afterAutospacing="0" w:line="52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四、国有资本经营预算支出情况：0</w:t>
      </w:r>
    </w:p>
    <w:p w14:paraId="3D355137">
      <w:pPr>
        <w:pStyle w:val="7"/>
        <w:widowControl/>
        <w:shd w:val="clear" w:color="auto" w:fill="FFFFFF"/>
        <w:snapToGrid w:val="0"/>
        <w:spacing w:beforeAutospacing="0" w:afterAutospacing="0" w:line="52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五、社会保险基金预算支出情况:0</w:t>
      </w:r>
    </w:p>
    <w:p w14:paraId="41798259">
      <w:pPr>
        <w:pStyle w:val="7"/>
        <w:widowControl/>
        <w:shd w:val="clear" w:color="auto" w:fill="FFFFFF"/>
        <w:snapToGrid w:val="0"/>
        <w:spacing w:beforeAutospacing="0" w:afterAutospacing="0" w:line="52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0448C62C">
      <w:pPr>
        <w:pStyle w:val="7"/>
        <w:widowControl/>
        <w:shd w:val="clear" w:color="auto" w:fill="FFFFFF"/>
        <w:snapToGrid w:val="0"/>
        <w:spacing w:beforeAutospacing="0" w:afterAutospacing="0" w:line="520" w:lineRule="exact"/>
        <w:ind w:firstLine="640"/>
        <w:rPr>
          <w:rFonts w:hint="eastAsia" w:ascii="仿宋_GB2312" w:eastAsia="仿宋_GB2312" w:cs="仿宋_GB2312"/>
          <w:color w:val="000000"/>
          <w:sz w:val="32"/>
          <w:szCs w:val="32"/>
          <w:shd w:val="clear" w:color="auto" w:fill="FFFFFF"/>
          <w:lang w:val="en-US" w:eastAsia="zh-CN"/>
        </w:rPr>
      </w:pPr>
      <w:r>
        <w:rPr>
          <w:rFonts w:ascii="楷体_GB2312" w:eastAsia="楷体_GB2312" w:cs="楷体_GB2312"/>
          <w:color w:val="000000"/>
          <w:sz w:val="32"/>
          <w:szCs w:val="32"/>
          <w:shd w:val="clear" w:color="auto" w:fill="FFFFFF"/>
        </w:rPr>
        <w:t>（一）综合评价结论。</w:t>
      </w:r>
      <w:r>
        <w:rPr>
          <w:rFonts w:hint="eastAsia" w:ascii="仿宋_GB2312" w:eastAsia="仿宋_GB2312" w:cs="仿宋_GB2312"/>
          <w:color w:val="000000"/>
          <w:sz w:val="32"/>
          <w:szCs w:val="32"/>
          <w:shd w:val="clear" w:color="auto" w:fill="FFFFFF"/>
          <w:lang w:val="en-US" w:eastAsia="zh-CN"/>
        </w:rPr>
        <w:t>2024年我局自评得分98分。</w:t>
      </w:r>
    </w:p>
    <w:p w14:paraId="70E7395D">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ascii="楷体_GB2312" w:eastAsia="楷体_GB2312" w:cs="楷体_GB2312"/>
          <w:color w:val="000000"/>
          <w:sz w:val="32"/>
          <w:szCs w:val="32"/>
          <w:shd w:val="clear" w:color="auto" w:fill="FFFFFF"/>
        </w:rPr>
        <w:t>（二）评价指标分析（或综合评价情况）。</w:t>
      </w:r>
    </w:p>
    <w:p w14:paraId="62AE2975">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color w:val="000000"/>
          <w:kern w:val="0"/>
          <w:sz w:val="32"/>
          <w:szCs w:val="32"/>
          <w:shd w:val="clear" w:color="auto" w:fill="FFFFFF"/>
          <w:lang w:val="en-US" w:eastAsia="zh-CN" w:bidi="ar-SA"/>
        </w:rPr>
        <w:t>2024</w:t>
      </w:r>
      <w:r>
        <w:rPr>
          <w:rFonts w:hint="eastAsia" w:ascii="楷体_GB2312" w:eastAsia="楷体_GB2312" w:cs="楷体_GB2312" w:hAnsiTheme="minorHAnsi"/>
          <w:color w:val="000000"/>
          <w:kern w:val="0"/>
          <w:sz w:val="32"/>
          <w:szCs w:val="32"/>
          <w:shd w:val="clear" w:color="auto" w:fill="FFFFFF"/>
          <w:lang w:val="en-US" w:eastAsia="zh-CN" w:bidi="ar-SA"/>
        </w:rPr>
        <w:t>年度预算绩效管理工作整体开展情况 ：</w:t>
      </w:r>
    </w:p>
    <w:p w14:paraId="4DF8D1A4">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color w:val="000000"/>
          <w:kern w:val="0"/>
          <w:sz w:val="32"/>
          <w:szCs w:val="32"/>
          <w:shd w:val="clear" w:color="auto" w:fill="FFFFFF"/>
          <w:lang w:val="en-US" w:eastAsia="zh-CN" w:bidi="ar-SA"/>
        </w:rPr>
        <w:t>1、</w:t>
      </w:r>
      <w:r>
        <w:rPr>
          <w:rFonts w:hint="eastAsia" w:ascii="楷体_GB2312" w:eastAsia="楷体_GB2312" w:cs="楷体_GB2312" w:hAnsiTheme="minorHAnsi"/>
          <w:color w:val="000000"/>
          <w:kern w:val="0"/>
          <w:sz w:val="32"/>
          <w:szCs w:val="32"/>
          <w:shd w:val="clear" w:color="auto" w:fill="FFFFFF"/>
          <w:lang w:val="en-US" w:eastAsia="zh-CN" w:bidi="ar-SA"/>
        </w:rPr>
        <w:t>基础工作管理。我局领导非常重视预算绩效管理工作，对该项工作给予大力支持和指导，对上级做出的批示和下发的预算批发非常的关心。在一些制度建设方面我们做的有些欠缺，有待提高和完善。</w:t>
      </w:r>
    </w:p>
    <w:p w14:paraId="18E1C54D">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color w:val="000000"/>
          <w:kern w:val="0"/>
          <w:sz w:val="32"/>
          <w:szCs w:val="32"/>
          <w:shd w:val="clear" w:color="auto" w:fill="FFFFFF"/>
          <w:lang w:val="en-US" w:eastAsia="zh-CN" w:bidi="ar-SA"/>
        </w:rPr>
        <w:t>2、</w:t>
      </w:r>
      <w:r>
        <w:rPr>
          <w:rFonts w:hint="eastAsia" w:ascii="楷体_GB2312" w:eastAsia="楷体_GB2312" w:cs="楷体_GB2312" w:hAnsiTheme="minorHAnsi"/>
          <w:color w:val="000000"/>
          <w:kern w:val="0"/>
          <w:sz w:val="32"/>
          <w:szCs w:val="32"/>
          <w:shd w:val="clear" w:color="auto" w:fill="FFFFFF"/>
          <w:lang w:val="en-US" w:eastAsia="zh-CN" w:bidi="ar-SA"/>
        </w:rPr>
        <w:t>绩效目标管理。我局严格按照上级的要求在规定的时间报送绩效目标，比如每月按时发放工资，公积金、医疗保险等按时准确发放到位，从无拖欠。</w:t>
      </w:r>
    </w:p>
    <w:p w14:paraId="51B04E4D">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color w:val="000000"/>
          <w:kern w:val="0"/>
          <w:sz w:val="32"/>
          <w:szCs w:val="32"/>
          <w:shd w:val="clear" w:color="auto" w:fill="FFFFFF"/>
          <w:lang w:val="en-US" w:eastAsia="zh-CN" w:bidi="ar-SA"/>
        </w:rPr>
        <w:t>3、</w:t>
      </w:r>
      <w:r>
        <w:rPr>
          <w:rFonts w:hint="eastAsia" w:ascii="楷体_GB2312" w:eastAsia="楷体_GB2312" w:cs="楷体_GB2312" w:hAnsiTheme="minorHAnsi"/>
          <w:color w:val="000000"/>
          <w:kern w:val="0"/>
          <w:sz w:val="32"/>
          <w:szCs w:val="32"/>
          <w:shd w:val="clear" w:color="auto" w:fill="FFFFFF"/>
          <w:lang w:val="en-US" w:eastAsia="zh-CN" w:bidi="ar-SA"/>
        </w:rPr>
        <w:t>绩效监控管理。我局202</w:t>
      </w:r>
      <w:r>
        <w:rPr>
          <w:rFonts w:hint="eastAsia" w:ascii="楷体_GB2312" w:eastAsia="楷体_GB2312" w:cs="楷体_GB2312"/>
          <w:color w:val="000000"/>
          <w:kern w:val="0"/>
          <w:sz w:val="32"/>
          <w:szCs w:val="32"/>
          <w:shd w:val="clear" w:color="auto" w:fill="FFFFFF"/>
          <w:lang w:val="en-US" w:eastAsia="zh-CN" w:bidi="ar-SA"/>
        </w:rPr>
        <w:t>4</w:t>
      </w:r>
      <w:r>
        <w:rPr>
          <w:rFonts w:hint="eastAsia" w:ascii="楷体_GB2312" w:eastAsia="楷体_GB2312" w:cs="楷体_GB2312" w:hAnsiTheme="minorHAnsi"/>
          <w:color w:val="000000"/>
          <w:kern w:val="0"/>
          <w:sz w:val="32"/>
          <w:szCs w:val="32"/>
          <w:shd w:val="clear" w:color="auto" w:fill="FFFFFF"/>
          <w:lang w:val="en-US" w:eastAsia="zh-CN" w:bidi="ar-SA"/>
        </w:rPr>
        <w:t>年项目收支</w:t>
      </w:r>
      <w:r>
        <w:rPr>
          <w:rFonts w:hint="eastAsia" w:ascii="楷体_GB2312" w:eastAsia="楷体_GB2312" w:cs="楷体_GB2312"/>
          <w:color w:val="000000"/>
          <w:kern w:val="0"/>
          <w:sz w:val="32"/>
          <w:szCs w:val="32"/>
          <w:shd w:val="clear" w:color="auto" w:fill="FFFFFF"/>
          <w:lang w:val="en-US" w:eastAsia="zh-CN" w:bidi="ar-SA"/>
        </w:rPr>
        <w:t>共13个</w:t>
      </w:r>
      <w:r>
        <w:rPr>
          <w:rFonts w:hint="eastAsia" w:ascii="楷体_GB2312" w:eastAsia="楷体_GB2312" w:cs="楷体_GB2312" w:hAnsiTheme="minorHAnsi"/>
          <w:color w:val="000000"/>
          <w:kern w:val="0"/>
          <w:sz w:val="32"/>
          <w:szCs w:val="32"/>
          <w:shd w:val="clear" w:color="auto" w:fill="FFFFFF"/>
          <w:lang w:val="en-US" w:eastAsia="zh-CN" w:bidi="ar-SA"/>
        </w:rPr>
        <w:t>,</w:t>
      </w:r>
      <w:r>
        <w:rPr>
          <w:rFonts w:hint="eastAsia" w:ascii="楷体_GB2312" w:eastAsia="楷体_GB2312" w:cs="楷体_GB2312"/>
          <w:color w:val="000000"/>
          <w:kern w:val="0"/>
          <w:sz w:val="32"/>
          <w:szCs w:val="32"/>
          <w:shd w:val="clear" w:color="auto" w:fill="FFFFFF"/>
          <w:lang w:val="en-US" w:eastAsia="zh-CN" w:bidi="ar-SA"/>
        </w:rPr>
        <w:t>都进行了年初预算、半年项目监控</w:t>
      </w:r>
      <w:r>
        <w:rPr>
          <w:rFonts w:hint="eastAsia" w:ascii="楷体_GB2312" w:eastAsia="楷体_GB2312" w:cs="楷体_GB2312" w:hAnsiTheme="minorHAnsi"/>
          <w:color w:val="000000"/>
          <w:kern w:val="0"/>
          <w:sz w:val="32"/>
          <w:szCs w:val="32"/>
          <w:shd w:val="clear" w:color="auto" w:fill="FFFFFF"/>
          <w:lang w:val="en-US" w:eastAsia="zh-CN" w:bidi="ar-SA"/>
        </w:rPr>
        <w:t>。</w:t>
      </w:r>
    </w:p>
    <w:p w14:paraId="1D21C42E">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color w:val="000000"/>
          <w:kern w:val="0"/>
          <w:sz w:val="32"/>
          <w:szCs w:val="32"/>
          <w:shd w:val="clear" w:color="auto" w:fill="FFFFFF"/>
          <w:lang w:val="en-US" w:eastAsia="zh-CN" w:bidi="ar-SA"/>
        </w:rPr>
        <w:t>4、</w:t>
      </w:r>
      <w:r>
        <w:rPr>
          <w:rFonts w:hint="eastAsia" w:ascii="楷体_GB2312" w:eastAsia="楷体_GB2312" w:cs="楷体_GB2312" w:hAnsiTheme="minorHAnsi"/>
          <w:color w:val="000000"/>
          <w:kern w:val="0"/>
          <w:sz w:val="32"/>
          <w:szCs w:val="32"/>
          <w:shd w:val="clear" w:color="auto" w:fill="FFFFFF"/>
          <w:lang w:val="en-US" w:eastAsia="zh-CN" w:bidi="ar-SA"/>
        </w:rPr>
        <w:t>绩效评价管理。202</w:t>
      </w:r>
      <w:r>
        <w:rPr>
          <w:rFonts w:hint="eastAsia" w:ascii="楷体_GB2312" w:eastAsia="楷体_GB2312" w:cs="楷体_GB2312"/>
          <w:color w:val="000000"/>
          <w:kern w:val="0"/>
          <w:sz w:val="32"/>
          <w:szCs w:val="32"/>
          <w:shd w:val="clear" w:color="auto" w:fill="FFFFFF"/>
          <w:lang w:val="en-US" w:eastAsia="zh-CN" w:bidi="ar-SA"/>
        </w:rPr>
        <w:t>4</w:t>
      </w:r>
      <w:r>
        <w:rPr>
          <w:rFonts w:hint="eastAsia" w:ascii="楷体_GB2312" w:eastAsia="楷体_GB2312" w:cs="楷体_GB2312" w:hAnsiTheme="minorHAnsi"/>
          <w:color w:val="000000"/>
          <w:kern w:val="0"/>
          <w:sz w:val="32"/>
          <w:szCs w:val="32"/>
          <w:shd w:val="clear" w:color="auto" w:fill="FFFFFF"/>
          <w:lang w:val="en-US" w:eastAsia="zh-CN" w:bidi="ar-SA"/>
        </w:rPr>
        <w:t>年我局基本支出管理的各项收入和支出都按预算的目标完成。</w:t>
      </w:r>
    </w:p>
    <w:p w14:paraId="71908D02">
      <w:pPr>
        <w:pStyle w:val="7"/>
        <w:widowControl/>
        <w:shd w:val="clear" w:color="auto" w:fill="FFFFFF"/>
        <w:snapToGrid w:val="0"/>
        <w:spacing w:beforeAutospacing="0" w:afterAutospacing="0" w:line="52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060569F5">
      <w:pPr>
        <w:widowControl/>
        <w:shd w:val="clear" w:color="auto" w:fill="FFFFFF"/>
        <w:spacing w:line="600" w:lineRule="atLeas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全县医疗卫生资源结构和布局有待优化，公共卫生体系建设有待完善，重大传染病和新发传染病应急处突能力不足，重点学科建设还要持续发力，卫生人才队伍数量不足、整体水平不高，优质医疗资源供给不足、城乡差异较大，“一老一小”健康服务供给有待持续提升。</w:t>
      </w:r>
    </w:p>
    <w:p w14:paraId="7BF66373">
      <w:pPr>
        <w:pStyle w:val="7"/>
        <w:widowControl/>
        <w:shd w:val="clear" w:color="auto" w:fill="FFFFFF"/>
        <w:snapToGrid w:val="0"/>
        <w:spacing w:beforeAutospacing="0" w:afterAutospacing="0" w:line="520" w:lineRule="exact"/>
        <w:ind w:firstLine="64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14:paraId="31413AE5">
      <w:pPr>
        <w:widowControl/>
        <w:shd w:val="clear" w:color="auto" w:fill="FFFFFF"/>
        <w:spacing w:line="600" w:lineRule="atLeast"/>
        <w:ind w:firstLine="640"/>
        <w:rPr>
          <w:rFonts w:hint="eastAsia" w:ascii="楷体_GB2312" w:eastAsia="楷体_GB2312" w:cs="楷体_GB2312" w:hAnsiTheme="minorHAnsi"/>
          <w:color w:val="000000"/>
          <w:kern w:val="0"/>
          <w:sz w:val="32"/>
          <w:szCs w:val="32"/>
          <w:shd w:val="clear" w:color="auto" w:fill="FFFFFF"/>
          <w:lang w:val="en-US" w:eastAsia="zh-CN" w:bidi="ar-SA"/>
        </w:rPr>
      </w:pPr>
      <w:r>
        <w:rPr>
          <w:rFonts w:hint="eastAsia" w:ascii="楷体_GB2312" w:eastAsia="楷体_GB2312" w:cs="楷体_GB2312" w:hAnsiTheme="minorHAnsi"/>
          <w:color w:val="000000"/>
          <w:kern w:val="0"/>
          <w:sz w:val="32"/>
          <w:szCs w:val="32"/>
          <w:shd w:val="clear" w:color="auto" w:fill="FFFFFF"/>
          <w:lang w:val="en-US" w:eastAsia="zh-CN" w:bidi="ar-SA"/>
        </w:rPr>
        <w:t>1、构建区域医疗中心，优化基层医疗服务网点，实现健康服务更加公平可及医防融合。构建起以卫生院为疾病筛查和健康管理网底，以区域医疗中心为技术支撑的“防、治、管”闭环体系及中西医结合工作。2、从发展策略上，建立“公益性、积极性、持续性”的公立医疗机构运行机制，倡导“运动是良医”的理念，推动健身和健康深度融合。“医教联动”。发挥基层医疗机构与单位、家庭、学校的协作机制。3、.从发展动力上，改革创新。始终把深化医药卫生体制改革作为推动卫生健康事业发展的强大动力。将调动医务人员积极性、主动性、创造性作为医改的基本动力来抓。</w:t>
      </w:r>
    </w:p>
    <w:p w14:paraId="5DB4BE53">
      <w:pPr>
        <w:pStyle w:val="7"/>
        <w:widowControl/>
        <w:shd w:val="clear" w:color="auto" w:fill="FFFFFF"/>
        <w:snapToGrid w:val="0"/>
        <w:spacing w:beforeAutospacing="0" w:afterAutospacing="0" w:line="520" w:lineRule="exact"/>
        <w:ind w:firstLine="640"/>
        <w:rPr>
          <w:rFonts w:hint="eastAsia" w:ascii="楷体_GB2312" w:eastAsia="楷体_GB2312" w:cs="楷体_GB2312" w:hAnsiTheme="minorHAnsi"/>
          <w:color w:val="000000"/>
          <w:kern w:val="0"/>
          <w:sz w:val="32"/>
          <w:szCs w:val="32"/>
          <w:shd w:val="clear" w:color="auto" w:fill="FFFFFF"/>
          <w:lang w:val="en-US" w:eastAsia="zh-CN" w:bidi="ar-SA"/>
        </w:rPr>
        <w:sectPr>
          <w:footerReference r:id="rId3" w:type="default"/>
          <w:pgSz w:w="11906" w:h="16838"/>
          <w:pgMar w:top="2098" w:right="1800" w:bottom="1984" w:left="1587" w:header="851" w:footer="992" w:gutter="0"/>
          <w:cols w:space="425" w:num="1"/>
          <w:docGrid w:type="lines" w:linePitch="312" w:charSpace="0"/>
        </w:sectPr>
      </w:pPr>
      <w:r>
        <w:rPr>
          <w:rFonts w:hint="eastAsia" w:ascii="黑体" w:hAnsi="黑体" w:eastAsia="黑体" w:cs="黑体"/>
          <w:color w:val="000000"/>
          <w:sz w:val="32"/>
          <w:szCs w:val="32"/>
          <w:shd w:val="clear" w:color="auto" w:fill="FFFFFF"/>
        </w:rPr>
        <w:t>九、其他需要说明的情况：</w:t>
      </w:r>
      <w:r>
        <w:rPr>
          <w:rFonts w:hint="eastAsia" w:ascii="楷体_GB2312" w:eastAsia="楷体_GB2312" w:cs="楷体_GB2312" w:hAnsiTheme="minorHAnsi"/>
          <w:color w:val="000000"/>
          <w:kern w:val="0"/>
          <w:sz w:val="32"/>
          <w:szCs w:val="32"/>
          <w:shd w:val="clear" w:color="auto" w:fill="FFFFFF"/>
          <w:lang w:val="en-US" w:eastAsia="zh-CN" w:bidi="ar-SA"/>
        </w:rPr>
        <w:t>无</w:t>
      </w:r>
      <w:bookmarkStart w:id="0" w:name="_GoBack"/>
      <w:bookmarkEnd w:id="0"/>
    </w:p>
    <w:p w14:paraId="20036DAC"/>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6FCD35-E703-438E-AF05-09E78FB282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59A82C3-39A1-4898-9622-A0CE18D2887C}"/>
  </w:font>
  <w:font w:name="Calibri Light">
    <w:altName w:val="Calibri"/>
    <w:panose1 w:val="020F0302020204030204"/>
    <w:charset w:val="00"/>
    <w:family w:val="swiss"/>
    <w:pitch w:val="default"/>
    <w:sig w:usb0="00000000" w:usb1="00000000"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embedRegular r:id="rId3" w:fontKey="{2FA4F878-EB03-41E3-8059-790747E42916}"/>
  </w:font>
  <w:font w:name="方正小标宋_GBK">
    <w:altName w:val="微软雅黑"/>
    <w:panose1 w:val="00000000000000000000"/>
    <w:charset w:val="86"/>
    <w:family w:val="script"/>
    <w:pitch w:val="default"/>
    <w:sig w:usb0="00000000" w:usb1="00000000" w:usb2="00000000" w:usb3="00000000" w:csb0="00040000" w:csb1="00000000"/>
    <w:embedRegular r:id="rId4" w:fontKey="{A66C6948-6A24-4080-B784-A12CB316398B}"/>
  </w:font>
  <w:font w:name="仿宋_GB2312">
    <w:altName w:val="仿宋"/>
    <w:panose1 w:val="00000000000000000000"/>
    <w:charset w:val="86"/>
    <w:family w:val="modern"/>
    <w:pitch w:val="default"/>
    <w:sig w:usb0="00000000" w:usb1="00000000" w:usb2="00000000" w:usb3="00000000" w:csb0="00040000" w:csb1="00000000"/>
    <w:embedRegular r:id="rId5" w:fontKey="{E6680514-82DA-42DA-8A8B-150F0CB16CC4}"/>
  </w:font>
  <w:font w:name="楷体">
    <w:panose1 w:val="02010609060101010101"/>
    <w:charset w:val="86"/>
    <w:family w:val="modern"/>
    <w:pitch w:val="default"/>
    <w:sig w:usb0="800002BF" w:usb1="38CF7CFA" w:usb2="00000016" w:usb3="00000000" w:csb0="00040001" w:csb1="00000000"/>
    <w:embedRegular r:id="rId6" w:fontKey="{60D1FD1D-BAB4-4A79-B0F8-6E511F16F3D0}"/>
  </w:font>
  <w:font w:name="微软雅黑">
    <w:panose1 w:val="020B0503020204020204"/>
    <w:charset w:val="86"/>
    <w:family w:val="swiss"/>
    <w:pitch w:val="default"/>
    <w:sig w:usb0="80000287" w:usb1="280F3C52" w:usb2="00000016" w:usb3="00000000" w:csb0="0004001F" w:csb1="00000000"/>
    <w:embedRegular r:id="rId7" w:fontKey="{01DB22B8-6EFD-4CFA-AA6A-0CC552F87221}"/>
  </w:font>
  <w:font w:name="___WRD_EMBED_SUB_48">
    <w:panose1 w:val="02010609030101010101"/>
    <w:charset w:val="86"/>
    <w:family w:val="auto"/>
    <w:pitch w:val="default"/>
    <w:sig w:usb0="00000001" w:usb1="080E0000" w:usb2="00000000" w:usb3="00000000" w:csb0="00040000" w:csb1="00000000"/>
    <w:embedRegular r:id="rId8" w:fontKey="{61D9C745-A65D-4841-B615-F40E919B5DB9}"/>
  </w:font>
  <w:font w:name="仿宋">
    <w:panose1 w:val="02010609060101010101"/>
    <w:charset w:val="86"/>
    <w:family w:val="modern"/>
    <w:pitch w:val="default"/>
    <w:sig w:usb0="800002BF" w:usb1="38CF7CFA" w:usb2="00000016" w:usb3="00000000" w:csb0="00040001" w:csb1="00000000"/>
    <w:embedRegular r:id="rId9" w:fontKey="{7797D422-9622-44F7-BE71-6D4570FE5FD6}"/>
  </w:font>
  <w:font w:name="方正仿宋_GB2312">
    <w:altName w:val="微软雅黑"/>
    <w:panose1 w:val="00000000000000000000"/>
    <w:charset w:val="86"/>
    <w:family w:val="auto"/>
    <w:pitch w:val="default"/>
    <w:sig w:usb0="00000000" w:usb1="00000000" w:usb2="00000012" w:usb3="00000000" w:csb0="00040001" w:csb1="00000000"/>
    <w:embedRegular r:id="rId10" w:fontKey="{95EB8D5A-FDE8-4EAE-9FA3-26772E8A45FD}"/>
  </w:font>
  <w:font w:name="原版宋体">
    <w:altName w:val="宋体"/>
    <w:panose1 w:val="00000000000000000000"/>
    <w:charset w:val="00"/>
    <w:family w:val="auto"/>
    <w:pitch w:val="default"/>
    <w:sig w:usb0="00000000" w:usb1="00000000" w:usb2="00000000"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774A">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2024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52024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D56F4"/>
    <w:multiLevelType w:val="singleLevel"/>
    <w:tmpl w:val="CA8D56F4"/>
    <w:lvl w:ilvl="0" w:tentative="0">
      <w:start w:val="4"/>
      <w:numFmt w:val="chineseCounting"/>
      <w:suff w:val="nothing"/>
      <w:lvlText w:val="（%1）"/>
      <w:lvlJc w:val="left"/>
      <w:rPr>
        <w:rFonts w:hint="eastAsia"/>
      </w:rPr>
    </w:lvl>
  </w:abstractNum>
  <w:abstractNum w:abstractNumId="1">
    <w:nsid w:val="4C897093"/>
    <w:multiLevelType w:val="multilevel"/>
    <w:tmpl w:val="4C897093"/>
    <w:lvl w:ilvl="0" w:tentative="0">
      <w:start w:val="2"/>
      <w:numFmt w:val="decimal"/>
      <w:lvlText w:val="%1、"/>
      <w:lvlJc w:val="left"/>
      <w:pPr>
        <w:ind w:left="1354" w:hanging="720"/>
      </w:pPr>
      <w:rPr>
        <w:rFonts w:hint="default"/>
      </w:rPr>
    </w:lvl>
    <w:lvl w:ilvl="1" w:tentative="0">
      <w:start w:val="1"/>
      <w:numFmt w:val="lowerLetter"/>
      <w:lvlText w:val="%2)"/>
      <w:lvlJc w:val="left"/>
      <w:pPr>
        <w:ind w:left="1514" w:hanging="440"/>
      </w:pPr>
    </w:lvl>
    <w:lvl w:ilvl="2" w:tentative="0">
      <w:start w:val="1"/>
      <w:numFmt w:val="lowerRoman"/>
      <w:lvlText w:val="%3."/>
      <w:lvlJc w:val="right"/>
      <w:pPr>
        <w:ind w:left="1954" w:hanging="440"/>
      </w:pPr>
    </w:lvl>
    <w:lvl w:ilvl="3" w:tentative="0">
      <w:start w:val="1"/>
      <w:numFmt w:val="decimal"/>
      <w:lvlText w:val="%4."/>
      <w:lvlJc w:val="left"/>
      <w:pPr>
        <w:ind w:left="2394" w:hanging="440"/>
      </w:pPr>
    </w:lvl>
    <w:lvl w:ilvl="4" w:tentative="0">
      <w:start w:val="1"/>
      <w:numFmt w:val="lowerLetter"/>
      <w:lvlText w:val="%5)"/>
      <w:lvlJc w:val="left"/>
      <w:pPr>
        <w:ind w:left="2834" w:hanging="440"/>
      </w:pPr>
    </w:lvl>
    <w:lvl w:ilvl="5" w:tentative="0">
      <w:start w:val="1"/>
      <w:numFmt w:val="lowerRoman"/>
      <w:lvlText w:val="%6."/>
      <w:lvlJc w:val="right"/>
      <w:pPr>
        <w:ind w:left="3274" w:hanging="440"/>
      </w:pPr>
    </w:lvl>
    <w:lvl w:ilvl="6" w:tentative="0">
      <w:start w:val="1"/>
      <w:numFmt w:val="decimal"/>
      <w:lvlText w:val="%7."/>
      <w:lvlJc w:val="left"/>
      <w:pPr>
        <w:ind w:left="3714" w:hanging="440"/>
      </w:pPr>
    </w:lvl>
    <w:lvl w:ilvl="7" w:tentative="0">
      <w:start w:val="1"/>
      <w:numFmt w:val="lowerLetter"/>
      <w:lvlText w:val="%8)"/>
      <w:lvlJc w:val="left"/>
      <w:pPr>
        <w:ind w:left="4154" w:hanging="440"/>
      </w:pPr>
    </w:lvl>
    <w:lvl w:ilvl="8" w:tentative="0">
      <w:start w:val="1"/>
      <w:numFmt w:val="lowerRoman"/>
      <w:lvlText w:val="%9."/>
      <w:lvlJc w:val="right"/>
      <w:pPr>
        <w:ind w:left="4594"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24422E"/>
    <w:rsid w:val="002B72BE"/>
    <w:rsid w:val="003E41F3"/>
    <w:rsid w:val="00405928"/>
    <w:rsid w:val="004233D4"/>
    <w:rsid w:val="006D7D0C"/>
    <w:rsid w:val="006E0D43"/>
    <w:rsid w:val="007C5130"/>
    <w:rsid w:val="007F0B08"/>
    <w:rsid w:val="00897AF3"/>
    <w:rsid w:val="00970DED"/>
    <w:rsid w:val="00975411"/>
    <w:rsid w:val="009D0B39"/>
    <w:rsid w:val="00A05E70"/>
    <w:rsid w:val="00A11ABA"/>
    <w:rsid w:val="00BA05B0"/>
    <w:rsid w:val="00C34709"/>
    <w:rsid w:val="00C41024"/>
    <w:rsid w:val="00CD2BA7"/>
    <w:rsid w:val="00CD47BD"/>
    <w:rsid w:val="00D2607E"/>
    <w:rsid w:val="00DC4F6B"/>
    <w:rsid w:val="00E02A36"/>
    <w:rsid w:val="00ED4D50"/>
    <w:rsid w:val="00F24B53"/>
    <w:rsid w:val="02F92D08"/>
    <w:rsid w:val="046A73C6"/>
    <w:rsid w:val="05E95AA6"/>
    <w:rsid w:val="0A794B51"/>
    <w:rsid w:val="0AAE7E28"/>
    <w:rsid w:val="0C180A78"/>
    <w:rsid w:val="0CAF7D6D"/>
    <w:rsid w:val="0D276746"/>
    <w:rsid w:val="0D464D9C"/>
    <w:rsid w:val="0DD52794"/>
    <w:rsid w:val="0E956870"/>
    <w:rsid w:val="0F834EBD"/>
    <w:rsid w:val="10C666A5"/>
    <w:rsid w:val="12046FD4"/>
    <w:rsid w:val="12086AC4"/>
    <w:rsid w:val="1223366A"/>
    <w:rsid w:val="133F6D99"/>
    <w:rsid w:val="138D2581"/>
    <w:rsid w:val="13DA4490"/>
    <w:rsid w:val="143877FD"/>
    <w:rsid w:val="17C820DA"/>
    <w:rsid w:val="180F79CF"/>
    <w:rsid w:val="19E805B2"/>
    <w:rsid w:val="1CDB6B83"/>
    <w:rsid w:val="215518D1"/>
    <w:rsid w:val="22FE234B"/>
    <w:rsid w:val="237240DB"/>
    <w:rsid w:val="25A91F14"/>
    <w:rsid w:val="26AD77E2"/>
    <w:rsid w:val="277E6F02"/>
    <w:rsid w:val="289229E4"/>
    <w:rsid w:val="29990575"/>
    <w:rsid w:val="29CE29B6"/>
    <w:rsid w:val="2A6D1762"/>
    <w:rsid w:val="2AF6742D"/>
    <w:rsid w:val="2E833798"/>
    <w:rsid w:val="30C772B8"/>
    <w:rsid w:val="312A2265"/>
    <w:rsid w:val="33F14F1D"/>
    <w:rsid w:val="349667E8"/>
    <w:rsid w:val="36FC0F5D"/>
    <w:rsid w:val="375773F8"/>
    <w:rsid w:val="38CC5315"/>
    <w:rsid w:val="393E32BB"/>
    <w:rsid w:val="3A6D130B"/>
    <w:rsid w:val="3D6469F5"/>
    <w:rsid w:val="3E237046"/>
    <w:rsid w:val="3F776618"/>
    <w:rsid w:val="3FD37E62"/>
    <w:rsid w:val="419B2857"/>
    <w:rsid w:val="41D71DA8"/>
    <w:rsid w:val="424630C1"/>
    <w:rsid w:val="44354C47"/>
    <w:rsid w:val="4492209A"/>
    <w:rsid w:val="45D249F5"/>
    <w:rsid w:val="466E080E"/>
    <w:rsid w:val="468772B0"/>
    <w:rsid w:val="46C16C66"/>
    <w:rsid w:val="46DF3663"/>
    <w:rsid w:val="4C18529B"/>
    <w:rsid w:val="4C6611ED"/>
    <w:rsid w:val="4D1C1598"/>
    <w:rsid w:val="4F3472D6"/>
    <w:rsid w:val="53B91B41"/>
    <w:rsid w:val="552A0475"/>
    <w:rsid w:val="578D10CB"/>
    <w:rsid w:val="5A5915AC"/>
    <w:rsid w:val="5C6E4162"/>
    <w:rsid w:val="5CA85A23"/>
    <w:rsid w:val="5D0623BF"/>
    <w:rsid w:val="645606F8"/>
    <w:rsid w:val="655F791E"/>
    <w:rsid w:val="6A12486A"/>
    <w:rsid w:val="6BC73B27"/>
    <w:rsid w:val="6C46548E"/>
    <w:rsid w:val="6E1F6131"/>
    <w:rsid w:val="6F3E67F6"/>
    <w:rsid w:val="70A83DD5"/>
    <w:rsid w:val="753C4E9B"/>
    <w:rsid w:val="754B452A"/>
    <w:rsid w:val="75634273"/>
    <w:rsid w:val="77CA616D"/>
    <w:rsid w:val="781113A7"/>
    <w:rsid w:val="787C58AE"/>
    <w:rsid w:val="789C23E7"/>
    <w:rsid w:val="791E6510"/>
    <w:rsid w:val="797C0647"/>
    <w:rsid w:val="79C124FE"/>
    <w:rsid w:val="7B3E1C91"/>
    <w:rsid w:val="7C211032"/>
    <w:rsid w:val="7C8D4A41"/>
    <w:rsid w:val="7C9048DB"/>
    <w:rsid w:val="7EBE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4">
    <w:name w:val="Body Text Indent"/>
    <w:basedOn w:val="1"/>
    <w:autoRedefine/>
    <w:unhideWhenUsed/>
    <w:qFormat/>
    <w:uiPriority w:val="0"/>
    <w:pPr>
      <w:ind w:firstLine="640" w:firstLineChars="200"/>
    </w:pPr>
    <w:rPr>
      <w:sz w:val="32"/>
    </w:rPr>
  </w:style>
  <w:style w:type="paragraph" w:styleId="5">
    <w:name w:val="footer"/>
    <w:basedOn w:val="1"/>
    <w:link w:val="15"/>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Body Text First Indent 2"/>
    <w:basedOn w:val="4"/>
    <w:autoRedefine/>
    <w:unhideWhenUsed/>
    <w:qFormat/>
    <w:uiPriority w:val="99"/>
    <w:pPr>
      <w:ind w:firstLine="420"/>
    </w:pPr>
  </w:style>
  <w:style w:type="paragraph" w:customStyle="1" w:styleId="11">
    <w:name w:val="标题1"/>
    <w:basedOn w:val="3"/>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unhideWhenUsed/>
    <w:qFormat/>
    <w:uiPriority w:val="99"/>
    <w:pPr>
      <w:ind w:firstLine="420" w:firstLineChars="200"/>
    </w:pPr>
  </w:style>
  <w:style w:type="character" w:customStyle="1" w:styleId="15">
    <w:name w:val="页脚 字符"/>
    <w:basedOn w:val="10"/>
    <w:link w:val="5"/>
    <w:qFormat/>
    <w:uiPriority w:val="0"/>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5133</Words>
  <Characters>5833</Characters>
  <Lines>30</Lines>
  <Paragraphs>8</Paragraphs>
  <TotalTime>280</TotalTime>
  <ScaleCrop>false</ScaleCrop>
  <LinksUpToDate>false</LinksUpToDate>
  <CharactersWithSpaces>5921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2025-09-09T02:00:39Z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4B545E2748234224AA7888E0D1AE4147_13</vt:lpwstr>
  </property>
  <property fmtid="{D5CDD505-2E9C-101B-9397-08002B2CF9AE}" pid="4" name="KSOTemplateDocerSaveRecord">
    <vt:lpwstr>eyJoZGlkIjoiMjM0YjQ1ZDljZWE4YTgxZmQyNWU5YmYzYzdiNGEwOTQiLCJ1c2VySWQiOiI2NzI5ODMyNTgifQ==</vt:lpwstr>
  </property>
</Properties>
</file>