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辰溪县卫生健康局关于健康辰溪十五五发展规划征求意见稿的起草说明"/>
      <w:r>
        <w:rPr>
          <w:rFonts w:hint="eastAsia"/>
        </w:rPr>
        <w:t>辰溪县卫生健康局关于《健康辰溪</w:t>
      </w:r>
      <w:r>
        <w:rPr>
          <w:rFonts w:hint="eastAsia" w:eastAsia="宋体"/>
          <w:lang w:eastAsia="zh-CN"/>
        </w:rPr>
        <w:t>“</w:t>
      </w:r>
      <w:r>
        <w:rPr>
          <w:rFonts w:hint="eastAsia"/>
        </w:rPr>
        <w:t>十五五</w:t>
      </w:r>
      <w:r>
        <w:rPr>
          <w:rFonts w:hint="eastAsia" w:eastAsia="宋体"/>
          <w:lang w:eastAsia="zh-CN"/>
        </w:rPr>
        <w:t>”</w:t>
      </w:r>
      <w:r>
        <w:rPr>
          <w:rFonts w:hint="eastAsia"/>
        </w:rPr>
        <w:t>发展规划（征求意见稿）》的起草说明</w:t>
      </w:r>
    </w:p>
    <w:p>
      <w:pPr>
        <w:pStyle w:val="4"/>
      </w:pPr>
      <w:bookmarkStart w:id="1" w:name="一出台健康辰溪十五五发展规划的必要性"/>
      <w:r>
        <w:rPr>
          <w:rFonts w:hint="eastAsia"/>
        </w:rPr>
        <w:t>一、出台《健康辰溪</w:t>
      </w:r>
      <w:r>
        <w:rPr>
          <w:rFonts w:hint="eastAsia" w:eastAsia="宋体"/>
          <w:lang w:eastAsia="zh-CN"/>
        </w:rPr>
        <w:t>“</w:t>
      </w:r>
      <w:r>
        <w:rPr>
          <w:rFonts w:hint="eastAsia"/>
        </w:rPr>
        <w:t>十五五</w:t>
      </w:r>
      <w:r>
        <w:rPr>
          <w:rFonts w:hint="eastAsia" w:eastAsia="宋体"/>
          <w:lang w:eastAsia="zh-CN"/>
        </w:rPr>
        <w:t>”</w:t>
      </w:r>
      <w:r>
        <w:rPr>
          <w:rFonts w:hint="eastAsia"/>
        </w:rPr>
        <w:t>发展规划》的必要性</w:t>
      </w:r>
    </w:p>
    <w:p>
      <w:pPr>
        <w:pStyle w:val="23"/>
      </w:pPr>
      <w:r>
        <w:rPr>
          <w:rFonts w:hint="eastAsia"/>
        </w:rPr>
        <w:t>第一，落实健康中国战略和上级规划要求的需要。党的二十大报告强调要”推进健康中国建设”“把保障人民健康放在优先发展的战略位置，完善人民健康促进政策”，国家”十五五”规划纲要对卫生健康事业发展作出重大部署。编制实施《健康辰溪”十五五”发展规划》，是贯彻落实党中央、国务院和省委、省政府以及市委、市政府关于卫生健康事业发展战略部署的重要举措，有利于确保上级规划要求在辰溪落地见效。</w:t>
      </w:r>
    </w:p>
    <w:p>
      <w:pPr>
        <w:pStyle w:val="3"/>
      </w:pPr>
      <w:r>
        <w:rPr>
          <w:rFonts w:hint="eastAsia"/>
        </w:rPr>
        <w:t>第二，补齐辰溪卫生健康事业发展短板、满足群众健康需求的需要。“十四五”期间，我县卫生健康事业取得长足进步，“健康辰溪”建设成效显著，但仍然存在医疗资源总量不足且结构失衡、卫生健康治理体系不完善、中医药事业发展滞后等突出问题。随着人口老龄化程度不断加深和人民群众健康需求日益增长，亟需通过编制”十五五”规划，系统谋划未来五年卫生健康事业发展目标、重点任务和重大项目，切实补齐短板弱项，更好满足全县人民全生命周期健康服务需求。</w:t>
      </w:r>
    </w:p>
    <w:p>
      <w:pPr>
        <w:pStyle w:val="3"/>
      </w:pPr>
      <w:r>
        <w:rPr>
          <w:rFonts w:hint="eastAsia"/>
        </w:rPr>
        <w:t>第三，推动卫生健康事业高质量发展、服务”港产城旅”融合发展先行区建设的需要。“十五五”时期是辰溪建功新时代、行稳新征程、致远现代化，加快建设”港产城旅”融合发展先行区的关键期，也是推进辰溪人民全周期生命健康事业高质量发展的关键五年。卫生健康事业作为基础性、战略性产业，需要主动对接县域经济社会高质量发展要求，构建与辰溪县域功能定位相匹配、与居民全生命周期健康需求相契合的现代化卫生健康服务体系，为全县经济社会发展提供坚强健康保障。</w:t>
      </w:r>
    </w:p>
    <w:bookmarkEnd w:id="1"/>
    <w:p>
      <w:pPr>
        <w:pStyle w:val="4"/>
      </w:pPr>
      <w:bookmarkStart w:id="2" w:name="二起草过程"/>
      <w:r>
        <w:rPr>
          <w:rFonts w:hint="eastAsia"/>
        </w:rPr>
        <w:t>二、起草过程</w:t>
      </w:r>
    </w:p>
    <w:p>
      <w:pPr>
        <w:pStyle w:val="23"/>
      </w:pPr>
      <w:r>
        <w:rPr>
          <w:rFonts w:hint="eastAsia"/>
        </w:rPr>
        <w:t>为深入贯彻落实健康中国战略和省委、省政府关于”十五五”规划编制工作的部署要求，2025年初，县卫生健康局启动《健康辰溪”十五五”发展规划》起草工作。局党委高度重视，成立规划编制工作专班，明确责任分工，细化工作任务。</w:t>
      </w:r>
    </w:p>
    <w:p>
      <w:pPr>
        <w:pStyle w:val="3"/>
      </w:pPr>
      <w:r>
        <w:rPr>
          <w:rFonts w:hint="eastAsia"/>
        </w:rPr>
        <w:t>2025年3月至5月，工作专班深入全县各级各类医疗卫生机构开展调研，全面了解”十四五”规划实施情况、卫生健康事业发展现状和存在问题，广泛听取基层医疗机构、相关部门和专家学者的意见建议，为规划编制夯实基础。</w:t>
      </w:r>
    </w:p>
    <w:p>
      <w:pPr>
        <w:pStyle w:val="3"/>
      </w:pPr>
      <w:r>
        <w:rPr>
          <w:rFonts w:hint="eastAsia"/>
        </w:rPr>
        <w:t>2025年6月至8月，工作专班在充分调研的基础上，认真研究国家、省、市关于”十五五”时期卫生健康事业发展的政策文件和发展思路，结合辰溪实际，起草形成了《健康辰溪”十五五”发展规划（征求意见稿）》初稿。</w:t>
      </w:r>
    </w:p>
    <w:p>
      <w:pPr>
        <w:pStyle w:val="3"/>
      </w:pPr>
      <w:r>
        <w:rPr>
          <w:rFonts w:hint="eastAsia"/>
        </w:rPr>
        <w:t>2025年9月至10月，局党委多次召开专题会议研究讨论规划初稿，并征求县直相关单位、各乡镇卫生院和局属各单位的意见建议。在此基础上，工作专班对规划稿进行了反复修改完善，形成了目前的征求意见稿。</w:t>
      </w:r>
    </w:p>
    <w:bookmarkEnd w:id="2"/>
    <w:p>
      <w:pPr>
        <w:pStyle w:val="4"/>
      </w:pPr>
      <w:bookmarkStart w:id="3" w:name="三起草制定依据和主要内容"/>
      <w:r>
        <w:rPr>
          <w:rFonts w:hint="eastAsia"/>
        </w:rPr>
        <w:t>三、起草制定依据和主要内容</w:t>
      </w:r>
    </w:p>
    <w:p>
      <w:pPr>
        <w:pStyle w:val="23"/>
      </w:pPr>
      <w:r>
        <w:rPr>
          <w:rFonts w:hint="eastAsia"/>
        </w:rPr>
        <w:t>本次《健康辰溪”十五五”</w:t>
      </w:r>
      <w:r>
        <w:rPr>
          <w:rFonts w:hint="eastAsia"/>
          <w:lang w:eastAsia="zh-CN"/>
        </w:rPr>
        <w:t>发展</w:t>
      </w:r>
      <w:r>
        <w:rPr>
          <w:rFonts w:hint="eastAsia"/>
        </w:rPr>
        <w:t>规划（征求意见稿）》起草制定的主要依据是：</w:t>
      </w:r>
    </w:p>
    <w:p>
      <w:pPr>
        <w:numPr>
          <w:ilvl w:val="0"/>
          <w:numId w:val="1"/>
        </w:numPr>
      </w:pPr>
      <w:r>
        <w:rPr>
          <w:rFonts w:hint="eastAsia"/>
          <w:lang w:eastAsia="zh-CN"/>
        </w:rPr>
        <w:t>国务院</w:t>
      </w:r>
      <w:r>
        <w:t>《</w:t>
      </w:r>
      <w:r>
        <w:rPr>
          <w:rFonts w:hint="eastAsia"/>
          <w:lang w:eastAsia="zh-CN"/>
        </w:rPr>
        <w:t>“十五五</w:t>
      </w:r>
      <w:r>
        <w:rPr>
          <w:rFonts w:hint="eastAsia"/>
        </w:rPr>
        <w:t>”国民健康规划》</w:t>
      </w:r>
    </w:p>
    <w:p>
      <w:pPr>
        <w:numPr>
          <w:ilvl w:val="0"/>
          <w:numId w:val="1"/>
        </w:numPr>
      </w:pPr>
      <w:r>
        <w:t>《</w:t>
      </w:r>
      <w:r>
        <w:rPr>
          <w:rFonts w:hint="eastAsia"/>
        </w:rPr>
        <w:t>“健康中国2030”规划纲要》</w:t>
      </w:r>
    </w:p>
    <w:p>
      <w:pPr>
        <w:numPr>
          <w:ilvl w:val="0"/>
          <w:numId w:val="1"/>
        </w:numPr>
      </w:pPr>
      <w:r>
        <w:rPr>
          <w:rFonts w:hint="eastAsia"/>
        </w:rPr>
        <w:t>《湖南省国民经济和社会发展第十五个五年规划纲要》</w:t>
      </w:r>
    </w:p>
    <w:p>
      <w:pPr>
        <w:numPr>
          <w:ilvl w:val="0"/>
          <w:numId w:val="1"/>
        </w:numPr>
      </w:pPr>
      <w:r>
        <w:rPr>
          <w:rFonts w:hint="eastAsia"/>
        </w:rPr>
        <w:t>《</w:t>
      </w:r>
      <w:r>
        <w:rPr>
          <w:rFonts w:hint="eastAsia"/>
          <w:lang w:eastAsia="zh-CN"/>
        </w:rPr>
        <w:t>健康湖南</w:t>
      </w:r>
      <w:r>
        <w:rPr>
          <w:rFonts w:hint="eastAsia"/>
        </w:rPr>
        <w:t>”十</w:t>
      </w:r>
      <w:r>
        <w:rPr>
          <w:rFonts w:hint="eastAsia"/>
          <w:lang w:eastAsia="zh-CN"/>
        </w:rPr>
        <w:t>四</w:t>
      </w:r>
      <w:r>
        <w:rPr>
          <w:rFonts w:hint="eastAsia"/>
        </w:rPr>
        <w:t>五”</w:t>
      </w:r>
      <w:r>
        <w:rPr>
          <w:rFonts w:hint="eastAsia"/>
          <w:lang w:eastAsia="zh-CN"/>
        </w:rPr>
        <w:t>建设</w:t>
      </w:r>
      <w:r>
        <w:rPr>
          <w:rFonts w:hint="eastAsia"/>
        </w:rPr>
        <w:t>规划》</w:t>
      </w:r>
    </w:p>
    <w:p>
      <w:pPr>
        <w:numPr>
          <w:ilvl w:val="0"/>
          <w:numId w:val="1"/>
        </w:numPr>
      </w:pPr>
      <w:r>
        <w:rPr>
          <w:rFonts w:hint="eastAsia"/>
        </w:rPr>
        <w:t>《</w:t>
      </w:r>
      <w:r>
        <w:rPr>
          <w:rFonts w:hint="eastAsia"/>
          <w:lang w:eastAsia="zh-CN"/>
        </w:rPr>
        <w:t>健康怀化</w:t>
      </w:r>
      <w:r>
        <w:rPr>
          <w:rFonts w:hint="eastAsia"/>
        </w:rPr>
        <w:t>”十</w:t>
      </w:r>
      <w:r>
        <w:rPr>
          <w:rFonts w:hint="eastAsia"/>
          <w:lang w:eastAsia="zh-CN"/>
        </w:rPr>
        <w:t>四</w:t>
      </w:r>
      <w:r>
        <w:rPr>
          <w:rFonts w:hint="eastAsia"/>
        </w:rPr>
        <w:t>五”</w:t>
      </w:r>
      <w:r>
        <w:rPr>
          <w:rFonts w:hint="eastAsia"/>
          <w:lang w:eastAsia="zh-CN"/>
        </w:rPr>
        <w:t>建设</w:t>
      </w:r>
      <w:r>
        <w:rPr>
          <w:rFonts w:hint="eastAsia"/>
        </w:rPr>
        <w:t>规划》</w:t>
      </w:r>
    </w:p>
    <w:p>
      <w:pPr>
        <w:numPr>
          <w:ilvl w:val="0"/>
          <w:numId w:val="1"/>
        </w:numPr>
      </w:pPr>
      <w:r>
        <w:rPr>
          <w:rFonts w:hint="eastAsia"/>
        </w:rPr>
        <w:t>《辰溪县国民经济和社会发展第十五个五年规划纲要》</w:t>
      </w:r>
    </w:p>
    <w:p>
      <w:pPr>
        <w:pStyle w:val="23"/>
      </w:pPr>
      <w:r>
        <w:rPr>
          <w:rFonts w:hint="eastAsia"/>
        </w:rPr>
        <w:t>《健康辰溪”十五五”</w:t>
      </w:r>
      <w:r>
        <w:rPr>
          <w:rFonts w:hint="eastAsia"/>
          <w:lang w:eastAsia="zh-CN"/>
        </w:rPr>
        <w:t>发展</w:t>
      </w:r>
      <w:r>
        <w:rPr>
          <w:rFonts w:hint="eastAsia"/>
        </w:rPr>
        <w:t>规划（征求意见稿）》共五大部分，全文约2万余字。</w:t>
      </w:r>
    </w:p>
    <w:p>
      <w:pPr>
        <w:pStyle w:val="3"/>
      </w:pPr>
      <w:r>
        <w:rPr>
          <w:rFonts w:hint="eastAsia"/>
          <w:b/>
          <w:bCs/>
        </w:rPr>
        <w:t>前言。</w:t>
      </w:r>
      <w:r>
        <w:t xml:space="preserve"> </w:t>
      </w:r>
      <w:r>
        <w:rPr>
          <w:rFonts w:hint="eastAsia"/>
        </w:rPr>
        <w:t>阐述了”十五五”时期（2026—2030年）对国家发展和辰溪的重要意义，明确了本规划的性质和编制依据。</w:t>
      </w:r>
    </w:p>
    <w:p>
      <w:pPr>
        <w:pStyle w:val="3"/>
      </w:pPr>
      <w:r>
        <w:rPr>
          <w:rFonts w:hint="eastAsia"/>
        </w:rPr>
        <w:t>（</w:t>
      </w:r>
      <w:r>
        <w:rPr>
          <w:rFonts w:hint="eastAsia"/>
          <w:b/>
          <w:bCs/>
        </w:rPr>
        <w:t>一</w:t>
      </w:r>
      <w:r>
        <w:rPr>
          <w:rFonts w:hint="eastAsia"/>
        </w:rPr>
        <w:t>）</w:t>
      </w:r>
      <w:r>
        <w:rPr>
          <w:rFonts w:hint="eastAsia"/>
          <w:b/>
          <w:bCs/>
        </w:rPr>
        <w:t>规划背景。</w:t>
      </w:r>
      <w:r>
        <w:t xml:space="preserve"> </w:t>
      </w:r>
      <w:r>
        <w:rPr>
          <w:rFonts w:hint="eastAsia"/>
        </w:rPr>
        <w:t>全面总结了”十四五”期间全县卫生健康事业取得的主要成绩，深入分析了当前存在的主要问题，系统研判了”十五五”时期面临的发展机遇和挑战，为规划目标的设定和任务的谋划奠定基础。</w:t>
      </w:r>
    </w:p>
    <w:p>
      <w:pPr>
        <w:pStyle w:val="3"/>
      </w:pPr>
      <w:r>
        <w:rPr>
          <w:rFonts w:hint="eastAsia"/>
        </w:rPr>
        <w:t>（</w:t>
      </w:r>
      <w:r>
        <w:rPr>
          <w:rFonts w:hint="eastAsia"/>
          <w:b/>
          <w:bCs/>
        </w:rPr>
        <w:t>二</w:t>
      </w:r>
      <w:r>
        <w:rPr>
          <w:rFonts w:hint="eastAsia"/>
        </w:rPr>
        <w:t>）</w:t>
      </w:r>
      <w:r>
        <w:rPr>
          <w:rFonts w:hint="eastAsia"/>
          <w:b/>
          <w:bCs/>
        </w:rPr>
        <w:t>总体要求。</w:t>
      </w:r>
      <w:r>
        <w:t xml:space="preserve"> </w:t>
      </w:r>
      <w:r>
        <w:rPr>
          <w:rFonts w:hint="eastAsia"/>
        </w:rPr>
        <w:t>明确了规划的指导思想、基本原则和发展目标。指导思想以习近平新时代中国特色社会主义思想为指导，对标”健康中国2030”，把辰溪人民健康摆在首位，以深化改革为引擎、以科技创新为支撑，以高质量建设健康辰溪为主线，坚持”夯基层、重预防、中西医融合”原则；基本原则坚持需求导向、推动资源下沉、突出预防为主、深化创新驱动；发展目标到2030年建成与”港产城旅”融合发展先行区功能定位相适应、体系完善、层级清晰、协同高效、运行有序的整合型卫生健康服务体系，并设置了健康水平、健康生活、健康服务、健康保障四大领域共28项具体指标。</w:t>
      </w:r>
    </w:p>
    <w:p>
      <w:pPr>
        <w:pStyle w:val="3"/>
      </w:pPr>
      <w:r>
        <w:rPr>
          <w:rFonts w:hint="eastAsia"/>
        </w:rPr>
        <w:t>（</w:t>
      </w:r>
      <w:r>
        <w:rPr>
          <w:rFonts w:hint="eastAsia"/>
          <w:b/>
          <w:bCs/>
        </w:rPr>
        <w:t>三</w:t>
      </w:r>
      <w:r>
        <w:rPr>
          <w:rFonts w:hint="eastAsia"/>
        </w:rPr>
        <w:t>）</w:t>
      </w:r>
      <w:r>
        <w:rPr>
          <w:rFonts w:hint="eastAsia"/>
          <w:b/>
          <w:bCs/>
        </w:rPr>
        <w:t>主要任务。</w:t>
      </w:r>
      <w:r>
        <w:t xml:space="preserve"> </w:t>
      </w:r>
      <w:r>
        <w:rPr>
          <w:rFonts w:hint="eastAsia"/>
        </w:rPr>
        <w:t>围绕建设健康辰溪战略目标，部署了七方面重点任务：</w:t>
      </w:r>
      <w:r>
        <w:rPr>
          <w:rFonts w:hint="eastAsia" w:eastAsia="宋体"/>
          <w:lang w:val="en-US" w:eastAsia="zh-CN"/>
        </w:rPr>
        <w:t>1、</w:t>
      </w:r>
      <w:r>
        <w:rPr>
          <w:rFonts w:hint="eastAsia"/>
        </w:rPr>
        <w:t>显著提高县域医疗服务能力，强化医院服务能力建设，健全基层医疗服务网络，推动社会办医规范发展；</w:t>
      </w:r>
      <w:r>
        <w:rPr>
          <w:rFonts w:hint="eastAsia" w:eastAsia="宋体"/>
          <w:lang w:val="en-US" w:eastAsia="zh-CN"/>
        </w:rPr>
        <w:t>2、</w:t>
      </w:r>
      <w:r>
        <w:rPr>
          <w:rFonts w:hint="eastAsia"/>
        </w:rPr>
        <w:t>全力筑牢公共卫生安全屏障，健全疾病综合防控长效机制，强化突发事件应急能力建设，持续深化家庭医生签约服务，完善医防协同长效机制，加强职业健康源头防控与风险管控；</w:t>
      </w:r>
      <w:r>
        <w:rPr>
          <w:rFonts w:hint="eastAsia" w:eastAsia="宋体"/>
          <w:lang w:val="en-US" w:eastAsia="zh-CN"/>
        </w:rPr>
        <w:t>3、</w:t>
      </w:r>
      <w:r>
        <w:rPr>
          <w:rFonts w:hint="eastAsia"/>
        </w:rPr>
        <w:t>持续深化医药卫生体制改革，深化公立医院综合改革，加快完善分级诊疗体系，建立健全健康安全监管体系；</w:t>
      </w:r>
      <w:r>
        <w:rPr>
          <w:rFonts w:hint="eastAsia" w:eastAsia="宋体"/>
          <w:lang w:val="en-US" w:eastAsia="zh-CN"/>
        </w:rPr>
        <w:t>4、</w:t>
      </w:r>
      <w:r>
        <w:rPr>
          <w:rFonts w:hint="eastAsia"/>
        </w:rPr>
        <w:t>大力推进中医药传承创新发展，完善中医药服务保障体系，强化中医药传承创新能力建设，加强中医药产业高质量发展；</w:t>
      </w:r>
      <w:r>
        <w:rPr>
          <w:rFonts w:hint="eastAsia" w:eastAsia="宋体"/>
          <w:lang w:val="en-US" w:eastAsia="zh-CN"/>
        </w:rPr>
        <w:t>5、</w:t>
      </w:r>
      <w:r>
        <w:rPr>
          <w:rFonts w:hint="eastAsia"/>
        </w:rPr>
        <w:t>完善全生命周期健康服务体系，健全老年健康服务体系，完善婴幼儿照护服务体系，提升妇幼健康服务保障水平；</w:t>
      </w:r>
      <w:r>
        <w:rPr>
          <w:rFonts w:hint="eastAsia" w:eastAsia="宋体"/>
          <w:lang w:val="en-US" w:eastAsia="zh-CN"/>
        </w:rPr>
        <w:t>6、</w:t>
      </w:r>
      <w:r>
        <w:rPr>
          <w:rFonts w:hint="eastAsia"/>
        </w:rPr>
        <w:t>夯实健康发展基础支撑与保障，加快推进卫生健康信息化建设，加强卫生健康人才队伍建设；</w:t>
      </w:r>
      <w:r>
        <w:rPr>
          <w:rFonts w:hint="eastAsia" w:eastAsia="宋体"/>
          <w:lang w:val="en-US" w:eastAsia="zh-CN"/>
        </w:rPr>
        <w:t>7、</w:t>
      </w:r>
      <w:r>
        <w:rPr>
          <w:rFonts w:hint="eastAsia"/>
        </w:rPr>
        <w:t>全面开展”健康辰溪</w:t>
      </w:r>
      <w:bookmarkStart w:id="4" w:name="_GoBack"/>
      <w:bookmarkEnd w:id="4"/>
      <w:r>
        <w:rPr>
          <w:rFonts w:hint="eastAsia"/>
        </w:rPr>
        <w:t>”行动，健全健康促进工作机制，深入开展爱国卫生运动，全力推进全民健康生活行动。</w:t>
      </w:r>
    </w:p>
    <w:p>
      <w:pPr>
        <w:pStyle w:val="3"/>
      </w:pPr>
      <w:r>
        <w:rPr>
          <w:rFonts w:hint="eastAsia"/>
        </w:rPr>
        <w:t>（</w:t>
      </w:r>
      <w:r>
        <w:rPr>
          <w:rFonts w:hint="eastAsia"/>
          <w:b/>
          <w:bCs/>
        </w:rPr>
        <w:t>四</w:t>
      </w:r>
      <w:r>
        <w:rPr>
          <w:rFonts w:hint="eastAsia"/>
        </w:rPr>
        <w:t>）</w:t>
      </w:r>
      <w:r>
        <w:rPr>
          <w:rFonts w:hint="eastAsia"/>
          <w:b/>
          <w:bCs/>
        </w:rPr>
        <w:t>重点项目。</w:t>
      </w:r>
      <w:r>
        <w:t xml:space="preserve"> </w:t>
      </w:r>
      <w:r>
        <w:rPr>
          <w:rFonts w:hint="eastAsia"/>
        </w:rPr>
        <w:t>规划了”十五五”期间全县医疗卫生健康事业拟重点建设的10个工程项目，总投资6.78亿元，涵盖中医医院整体搬迁、第二人民医院综合大楼、疾控中心整体搬迁、精神病专科医院、县域医共体建设、人民医院制剂厂、医养结合服务、妇幼保健院功能提升、医疗废物垃圾处理站等重点项目。</w:t>
      </w:r>
    </w:p>
    <w:p>
      <w:pPr>
        <w:pStyle w:val="3"/>
      </w:pPr>
      <w:r>
        <w:rPr>
          <w:rFonts w:hint="eastAsia"/>
        </w:rPr>
        <w:t>（</w:t>
      </w:r>
      <w:r>
        <w:rPr>
          <w:rFonts w:hint="eastAsia"/>
          <w:b/>
          <w:bCs/>
        </w:rPr>
        <w:t>五</w:t>
      </w:r>
      <w:r>
        <w:rPr>
          <w:rFonts w:hint="eastAsia"/>
        </w:rPr>
        <w:t>）</w:t>
      </w:r>
      <w:r>
        <w:rPr>
          <w:rFonts w:hint="eastAsia"/>
          <w:b/>
          <w:bCs/>
        </w:rPr>
        <w:t>保障措施。</w:t>
      </w:r>
      <w:r>
        <w:t xml:space="preserve"> </w:t>
      </w:r>
      <w:r>
        <w:rPr>
          <w:rFonts w:hint="eastAsia"/>
        </w:rPr>
        <w:t>从加强组织领导、加大投入保障、实施督导评估、营造良好环境四个方面，为确保规划目标任务顺利实施提供坚强保障。</w:t>
      </w:r>
    </w:p>
    <w:p>
      <w:pPr>
        <w:pStyle w:val="3"/>
      </w:pPr>
      <w:r>
        <w:rPr>
          <w:rFonts w:hint="eastAsia"/>
        </w:rPr>
        <w:t>《健康辰溪”十五五”</w:t>
      </w:r>
      <w:r>
        <w:rPr>
          <w:rFonts w:hint="eastAsia"/>
          <w:lang w:eastAsia="zh-CN"/>
        </w:rPr>
        <w:t>发展</w:t>
      </w:r>
      <w:r>
        <w:rPr>
          <w:rFonts w:hint="eastAsia"/>
        </w:rPr>
        <w:t>规划（征求意见稿）》草案经过研究起草、反复征求意见和反复讨论修改，根据规范性文件制定程序，现面向社会公开征求意见。</w:t>
      </w:r>
    </w:p>
    <w:p>
      <w:pPr>
        <w:pStyle w:val="3"/>
      </w:pPr>
      <w:r>
        <w:rPr>
          <w:rFonts w:hint="eastAsia"/>
        </w:rPr>
        <w:t>特此说明。</w:t>
      </w:r>
    </w:p>
    <w:bookmarkEnd w:id="0"/>
    <w:bookmarkEnd w:id="3"/>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ptos">
    <w:altName w:val="FreeSans"/>
    <w:panose1 w:val="020B0004020202020204"/>
    <w:charset w:val="00"/>
    <w:family w:val="swiss"/>
    <w:pitch w:val="default"/>
    <w:sig w:usb0="00000000" w:usb1="00000000" w:usb2="00000000" w:usb3="00000000" w:csb0="0000019F" w:csb1="00000000"/>
  </w:font>
  <w:font w:name="等线">
    <w:altName w:val="华文仿宋"/>
    <w:panose1 w:val="00000000000000000000"/>
    <w:charset w:val="86"/>
    <w:family w:val="auto"/>
    <w:pitch w:val="default"/>
    <w:sig w:usb0="00000000" w:usb1="00000000" w:usb2="00000000" w:usb3="00000000" w:csb0="00000000" w:csb1="00000000"/>
  </w:font>
  <w:font w:name="Aptos Display">
    <w:altName w:val="FreeSans"/>
    <w:panose1 w:val="020B0004020202020204"/>
    <w:charset w:val="00"/>
    <w:family w:val="swiss"/>
    <w:pitch w:val="default"/>
    <w:sig w:usb0="00000000" w:usb1="00000000" w:usb2="00000000" w:usb3="00000000" w:csb0="0000019F" w:csb1="00000000"/>
  </w:font>
  <w:font w:name="等线 Light">
    <w:altName w:val="C059"/>
    <w:panose1 w:val="00000000000000000000"/>
    <w:charset w:val="00"/>
    <w:family w:val="auto"/>
    <w:pitch w:val="default"/>
    <w:sig w:usb0="00000000" w:usb1="00000000" w:usb2="00000000" w:usb3="00000000" w:csb0="00000000" w:csb1="00000000"/>
  </w:font>
  <w:font w:name="Consolas">
    <w:altName w:val="Liberation Sans Narrow"/>
    <w:panose1 w:val="020B0609020204030204"/>
    <w:charset w:val="00"/>
    <w:family w:val="auto"/>
    <w:pitch w:val="default"/>
    <w:sig w:usb0="00000000" w:usb1="00000000" w:usb2="00000009" w:usb3="00000000" w:csb0="6000019F" w:csb1="DFD70000"/>
  </w:font>
  <w:font w:name="方正书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FreeSans">
    <w:panose1 w:val="020B0504020202020204"/>
    <w:charset w:val="00"/>
    <w:family w:val="auto"/>
    <w:pitch w:val="default"/>
    <w:sig w:usb0="E4839EFF" w:usb1="4600FDFF" w:usb2="000030A0" w:usb3="00000584" w:csb0="600001BF" w:csb1="DFF70000"/>
  </w:font>
  <w:font w:name="等线">
    <w:altName w:val="C059"/>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ans Narrow">
    <w:panose1 w:val="020B0606020202030204"/>
    <w:charset w:val="00"/>
    <w:family w:val="auto"/>
    <w:pitch w:val="default"/>
    <w:sig w:usb0="A00002AF" w:usb1="500078FB" w:usb2="00000000" w:usb3="00000000" w:csb0="6000009F" w:csb1="DFD70000"/>
  </w:font>
  <w:font w:name="华文仿宋">
    <w:panose1 w:val="02010600040101010101"/>
    <w:charset w:val="86"/>
    <w:family w:val="auto"/>
    <w:pitch w:val="default"/>
    <w:sig w:usb0="00000287" w:usb1="080F0000" w:usb2="00000000" w:usb3="00000000" w:csb0="0004009F" w:csb1="DFD70000"/>
  </w:font>
  <w:font w:name="方正宋体S-超大字符集(SIP)">
    <w:panose1 w:val="03000509000000000000"/>
    <w:charset w:val="86"/>
    <w:family w:val="auto"/>
    <w:pitch w:val="default"/>
    <w:sig w:usb0="00000003" w:usb1="0A0E08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numRestart w:val="eachSect"/>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51184"/>
    <w:rsid w:val="381723F1"/>
    <w:rsid w:val="3F0E2E46"/>
    <w:rsid w:val="7BE56054"/>
    <w:rsid w:val="FF3DEA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9">
    <w:name w:val="Default Paragraph Font"/>
    <w:semiHidden/>
    <w:unhideWhenUsed/>
    <w:qFormat/>
    <w:uiPriority w:val="0"/>
  </w:style>
  <w:style w:type="table" w:default="1" w:styleId="18">
    <w:name w:val="Normal Table"/>
    <w:qFormat/>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next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rFonts w:eastAsiaTheme="majorEastAsia" w:cstheme="majorBidi"/>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14:textFill>
        <w14:solidFill>
          <w14:schemeClr w14:val="accent1"/>
        </w14:solidFill>
      </w14:textFill>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Title Char"/>
    <w:basedOn w:val="19"/>
    <w:link w:val="15"/>
    <w:qFormat/>
    <w:uiPriority w:val="10"/>
    <w:rPr>
      <w:rFonts w:asciiTheme="majorHAnsi" w:hAnsiTheme="majorHAnsi" w:eastAsiaTheme="majorEastAsia" w:cstheme="majorBidi"/>
      <w:sz w:val="56"/>
      <w:szCs w:val="56"/>
    </w:rPr>
  </w:style>
  <w:style w:type="character" w:customStyle="1" w:styleId="26">
    <w:name w:val="Subtitle Char"/>
    <w:basedOn w:val="19"/>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qFormat/>
    <w:uiPriority w:val="9"/>
    <w:rPr>
      <w:rFonts w:asciiTheme="majorHAnsi" w:hAnsiTheme="majorHAnsi" w:eastAsiaTheme="majorEastAsia" w:cstheme="majorBidi"/>
      <w:color w:val="104862" w:themeColor="accent1" w:themeShade="BF"/>
      <w:sz w:val="40"/>
      <w:szCs w:val="40"/>
    </w:rPr>
  </w:style>
  <w:style w:type="character" w:customStyle="1" w:styleId="32">
    <w:name w:val="Heading 2 Char"/>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3">
    <w:name w:val="Heading 3 Char"/>
    <w:basedOn w:val="19"/>
    <w:link w:val="5"/>
    <w:semiHidden/>
    <w:qFormat/>
    <w:uiPriority w:val="9"/>
    <w:rPr>
      <w:rFonts w:eastAsiaTheme="majorEastAsia" w:cstheme="majorBidi"/>
      <w:color w:val="104862" w:themeColor="accent1" w:themeShade="BF"/>
      <w:sz w:val="28"/>
      <w:szCs w:val="28"/>
    </w:rPr>
  </w:style>
  <w:style w:type="character" w:customStyle="1" w:styleId="34">
    <w:name w:val="Heading 4 Char"/>
    <w:basedOn w:val="19"/>
    <w:link w:val="6"/>
    <w:semiHidden/>
    <w:qFormat/>
    <w:uiPriority w:val="9"/>
    <w:rPr>
      <w:rFonts w:eastAsiaTheme="majorEastAsia" w:cstheme="majorBidi"/>
      <w:i/>
      <w:iCs/>
      <w:color w:val="104862" w:themeColor="accent1" w:themeShade="BF"/>
    </w:rPr>
  </w:style>
  <w:style w:type="character" w:customStyle="1" w:styleId="35">
    <w:name w:val="Heading 5 Char"/>
    <w:basedOn w:val="19"/>
    <w:link w:val="7"/>
    <w:semiHidden/>
    <w:qFormat/>
    <w:uiPriority w:val="9"/>
    <w:rPr>
      <w:rFonts w:eastAsiaTheme="majorEastAsia" w:cstheme="majorBidi"/>
      <w:color w:val="104862" w:themeColor="accent1" w:themeShade="BF"/>
    </w:rPr>
  </w:style>
  <w:style w:type="character" w:customStyle="1" w:styleId="36">
    <w:name w:val="Heading 6 Char"/>
    <w:basedOn w:val="19"/>
    <w:link w:val="8"/>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7">
    <w:name w:val="Heading 7 Char"/>
    <w:basedOn w:val="19"/>
    <w:link w:val="9"/>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Heading 8 Char"/>
    <w:basedOn w:val="19"/>
    <w:link w:val="10"/>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9">
    <w:name w:val="Heading 9 Char"/>
    <w:basedOn w:val="19"/>
    <w:link w:val="11"/>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104862" w:themeColor="accent1" w:themeShade="BF"/>
    </w:rPr>
  </w:style>
  <w:style w:type="character" w:customStyle="1" w:styleId="52">
    <w:name w:val="KeywordTok"/>
    <w:basedOn w:val="48"/>
    <w:qFormat/>
    <w:uiPriority w:val="0"/>
    <w:rPr>
      <w:b/>
      <w:color w:val="007020"/>
    </w:rPr>
  </w:style>
  <w:style w:type="character" w:customStyle="1" w:styleId="53">
    <w:name w:val="DataTypeTok"/>
    <w:basedOn w:val="48"/>
    <w:qFormat/>
    <w:uiPriority w:val="0"/>
    <w:rPr>
      <w:color w:val="902000"/>
    </w:rPr>
  </w:style>
  <w:style w:type="character" w:customStyle="1" w:styleId="54">
    <w:name w:val="DecValTok"/>
    <w:basedOn w:val="48"/>
    <w:qFormat/>
    <w:uiPriority w:val="0"/>
    <w:rPr>
      <w:color w:val="40A070"/>
    </w:rPr>
  </w:style>
  <w:style w:type="character" w:customStyle="1" w:styleId="55">
    <w:name w:val="BaseNTok"/>
    <w:basedOn w:val="48"/>
    <w:qFormat/>
    <w:uiPriority w:val="0"/>
    <w:rPr>
      <w:color w:val="40A070"/>
    </w:rPr>
  </w:style>
  <w:style w:type="character" w:customStyle="1" w:styleId="56">
    <w:name w:val="FloatTok"/>
    <w:basedOn w:val="48"/>
    <w:qFormat/>
    <w:uiPriority w:val="0"/>
    <w:rPr>
      <w:color w:val="40A070"/>
    </w:rPr>
  </w:style>
  <w:style w:type="character" w:customStyle="1" w:styleId="57">
    <w:name w:val="ConstantTok"/>
    <w:basedOn w:val="48"/>
    <w:qFormat/>
    <w:uiPriority w:val="0"/>
    <w:rPr>
      <w:color w:val="880000"/>
    </w:rPr>
  </w:style>
  <w:style w:type="character" w:customStyle="1" w:styleId="58">
    <w:name w:val="CharTok"/>
    <w:basedOn w:val="48"/>
    <w:qFormat/>
    <w:uiPriority w:val="0"/>
    <w:rPr>
      <w:color w:val="4070A0"/>
    </w:rPr>
  </w:style>
  <w:style w:type="character" w:customStyle="1" w:styleId="59">
    <w:name w:val="SpecialCharTok"/>
    <w:basedOn w:val="48"/>
    <w:qFormat/>
    <w:uiPriority w:val="0"/>
    <w:rPr>
      <w:color w:val="4070A0"/>
    </w:rPr>
  </w:style>
  <w:style w:type="character" w:customStyle="1" w:styleId="60">
    <w:name w:val="StringTok"/>
    <w:basedOn w:val="48"/>
    <w:qFormat/>
    <w:uiPriority w:val="0"/>
    <w:rPr>
      <w:color w:val="4070A0"/>
    </w:rPr>
  </w:style>
  <w:style w:type="character" w:customStyle="1" w:styleId="61">
    <w:name w:val="VerbatimStringTok"/>
    <w:basedOn w:val="48"/>
    <w:qFormat/>
    <w:uiPriority w:val="0"/>
    <w:rPr>
      <w:color w:val="4070A0"/>
    </w:rPr>
  </w:style>
  <w:style w:type="character" w:customStyle="1" w:styleId="62">
    <w:name w:val="SpecialStringTok"/>
    <w:basedOn w:val="48"/>
    <w:qFormat/>
    <w:uiPriority w:val="0"/>
    <w:rPr>
      <w:color w:val="BB6688"/>
    </w:rPr>
  </w:style>
  <w:style w:type="character" w:customStyle="1" w:styleId="63">
    <w:name w:val="ImportTok"/>
    <w:basedOn w:val="48"/>
    <w:qFormat/>
    <w:uiPriority w:val="0"/>
    <w:rPr>
      <w:b/>
      <w:color w:val="008000"/>
    </w:rPr>
  </w:style>
  <w:style w:type="character" w:customStyle="1" w:styleId="64">
    <w:name w:val="CommentTok"/>
    <w:basedOn w:val="48"/>
    <w:qFormat/>
    <w:uiPriority w:val="0"/>
    <w:rPr>
      <w:i/>
      <w:color w:val="60A0B0"/>
    </w:rPr>
  </w:style>
  <w:style w:type="character" w:customStyle="1" w:styleId="65">
    <w:name w:val="DocumentationTok"/>
    <w:basedOn w:val="48"/>
    <w:qFormat/>
    <w:uiPriority w:val="0"/>
    <w:rPr>
      <w:i/>
      <w:color w:val="BA2121"/>
    </w:rPr>
  </w:style>
  <w:style w:type="character" w:customStyle="1" w:styleId="66">
    <w:name w:val="AnnotationTok"/>
    <w:basedOn w:val="48"/>
    <w:qFormat/>
    <w:uiPriority w:val="0"/>
    <w:rPr>
      <w:b/>
      <w:i/>
      <w:color w:val="60A0B0"/>
    </w:rPr>
  </w:style>
  <w:style w:type="character" w:customStyle="1" w:styleId="67">
    <w:name w:val="CommentVarTok"/>
    <w:basedOn w:val="48"/>
    <w:qFormat/>
    <w:uiPriority w:val="0"/>
    <w:rPr>
      <w:b/>
      <w:i/>
      <w:color w:val="60A0B0"/>
    </w:rPr>
  </w:style>
  <w:style w:type="character" w:customStyle="1" w:styleId="68">
    <w:name w:val="OtherTok"/>
    <w:basedOn w:val="48"/>
    <w:qFormat/>
    <w:uiPriority w:val="0"/>
    <w:rPr>
      <w:color w:val="007020"/>
    </w:rPr>
  </w:style>
  <w:style w:type="character" w:customStyle="1" w:styleId="69">
    <w:name w:val="FunctionTok"/>
    <w:basedOn w:val="48"/>
    <w:qFormat/>
    <w:uiPriority w:val="0"/>
    <w:rPr>
      <w:color w:val="06287E"/>
    </w:rPr>
  </w:style>
  <w:style w:type="character" w:customStyle="1" w:styleId="70">
    <w:name w:val="VariableTok"/>
    <w:basedOn w:val="48"/>
    <w:qFormat/>
    <w:uiPriority w:val="0"/>
    <w:rPr>
      <w:color w:val="19177C"/>
    </w:rPr>
  </w:style>
  <w:style w:type="character" w:customStyle="1" w:styleId="71">
    <w:name w:val="ControlFlowTok"/>
    <w:basedOn w:val="48"/>
    <w:qFormat/>
    <w:uiPriority w:val="0"/>
    <w:rPr>
      <w:b/>
      <w:color w:val="007020"/>
    </w:rPr>
  </w:style>
  <w:style w:type="character" w:customStyle="1" w:styleId="72">
    <w:name w:val="OperatorTok"/>
    <w:basedOn w:val="48"/>
    <w:qFormat/>
    <w:uiPriority w:val="0"/>
    <w:rPr>
      <w:color w:val="666666"/>
    </w:rPr>
  </w:style>
  <w:style w:type="character" w:customStyle="1" w:styleId="73">
    <w:name w:val="BuiltInTok"/>
    <w:basedOn w:val="48"/>
    <w:qFormat/>
    <w:uiPriority w:val="0"/>
    <w:rPr>
      <w:color w:val="008000"/>
    </w:rPr>
  </w:style>
  <w:style w:type="character" w:customStyle="1" w:styleId="74">
    <w:name w:val="ExtensionTok"/>
    <w:basedOn w:val="48"/>
    <w:qFormat/>
    <w:uiPriority w:val="0"/>
  </w:style>
  <w:style w:type="character" w:customStyle="1" w:styleId="75">
    <w:name w:val="PreprocessorTok"/>
    <w:basedOn w:val="48"/>
    <w:qFormat/>
    <w:uiPriority w:val="0"/>
    <w:rPr>
      <w:color w:val="BC7A00"/>
    </w:rPr>
  </w:style>
  <w:style w:type="character" w:customStyle="1" w:styleId="76">
    <w:name w:val="AttributeTok"/>
    <w:basedOn w:val="48"/>
    <w:qFormat/>
    <w:uiPriority w:val="0"/>
    <w:rPr>
      <w:color w:val="7D9029"/>
    </w:rPr>
  </w:style>
  <w:style w:type="character" w:customStyle="1" w:styleId="77">
    <w:name w:val="RegionMarkerTok"/>
    <w:basedOn w:val="48"/>
    <w:qFormat/>
    <w:uiPriority w:val="0"/>
  </w:style>
  <w:style w:type="character" w:customStyle="1" w:styleId="78">
    <w:name w:val="InformationTok"/>
    <w:basedOn w:val="48"/>
    <w:qFormat/>
    <w:uiPriority w:val="0"/>
    <w:rPr>
      <w:b/>
      <w:i/>
      <w:color w:val="60A0B0"/>
    </w:rPr>
  </w:style>
  <w:style w:type="character" w:customStyle="1" w:styleId="79">
    <w:name w:val="WarningTok"/>
    <w:basedOn w:val="48"/>
    <w:qFormat/>
    <w:uiPriority w:val="0"/>
    <w:rPr>
      <w:b/>
      <w:i/>
      <w:color w:val="60A0B0"/>
    </w:rPr>
  </w:style>
  <w:style w:type="character" w:customStyle="1" w:styleId="80">
    <w:name w:val="AlertTok"/>
    <w:basedOn w:val="48"/>
    <w:qFormat/>
    <w:uiPriority w:val="0"/>
    <w:rPr>
      <w:b/>
      <w:color w:val="FF0000"/>
    </w:rPr>
  </w:style>
  <w:style w:type="character" w:customStyle="1" w:styleId="81">
    <w:name w:val="ErrorTok"/>
    <w:basedOn w:val="48"/>
    <w:qFormat/>
    <w:uiPriority w:val="0"/>
    <w:rPr>
      <w:b/>
      <w:color w:val="FF0000"/>
    </w:rPr>
  </w:style>
  <w:style w:type="character" w:customStyle="1" w:styleId="82">
    <w:name w:val="NormalTok"/>
    <w:basedOn w:val="4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2344</Words>
  <Characters>2377</Characters>
  <Lines>12</Lines>
  <Paragraphs>8</Paragraphs>
  <TotalTime>0</TotalTime>
  <ScaleCrop>false</ScaleCrop>
  <LinksUpToDate>false</LinksUpToDate>
  <CharactersWithSpaces>2383</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2026-09-18T09:46:00Z</dcterms:created>
  <dc:creator>葉</dc:creator>
  <cp:lastModifiedBy>kylin</cp:lastModifiedBy>
  <dcterms:modified xsi:type="dcterms:W3CDTF">2026-09-18T16:36:09Z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eyJoZGlkIjoiNTVjZDJkNzcyZDRjMjhkNWMyYzZhZDhiZTlhZWZkOTciLCJ1c2VySWQiOiIyOTE4MDEwOTQifQ==</vt:lpwstr>
  </property>
  <property fmtid="{D5CDD505-2E9C-101B-9397-08002B2CF9AE}" pid="3" name="KSOProductBuildVer">
    <vt:lpwstr>2052-11.8.2.10953</vt:lpwstr>
  </property>
  <property fmtid="{D5CDD505-2E9C-101B-9397-08002B2CF9AE}" pid="4" name="ICV">
    <vt:lpwstr>B61791443D87481087138025F811C088_13</vt:lpwstr>
  </property>
</Properties>
</file>