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B3" w:rsidRPr="00103A32" w:rsidRDefault="00BD48B3" w:rsidP="00BD48B3">
      <w:pPr>
        <w:widowControl/>
        <w:jc w:val="center"/>
        <w:outlineLvl w:val="1"/>
        <w:rPr>
          <w:rFonts w:ascii="Helvetica" w:eastAsia="宋体" w:hAnsi="Helvetica" w:cs="Helvetica"/>
          <w:b/>
          <w:color w:val="000000" w:themeColor="text1"/>
          <w:kern w:val="0"/>
          <w:sz w:val="44"/>
          <w:szCs w:val="44"/>
        </w:rPr>
      </w:pPr>
      <w:r w:rsidRPr="00103A32">
        <w:rPr>
          <w:rFonts w:ascii="Helvetica" w:eastAsia="宋体" w:hAnsi="Helvetica" w:cs="Helvetica"/>
          <w:b/>
          <w:color w:val="000000" w:themeColor="text1"/>
          <w:kern w:val="0"/>
          <w:sz w:val="44"/>
          <w:szCs w:val="44"/>
        </w:rPr>
        <w:t>辰溪县市场监督管理局</w:t>
      </w:r>
      <w:r w:rsidRPr="00103A32">
        <w:rPr>
          <w:rFonts w:ascii="Helvetica" w:eastAsia="宋体" w:hAnsi="Helvetica" w:cs="Helvetica"/>
          <w:b/>
          <w:color w:val="000000" w:themeColor="text1"/>
          <w:kern w:val="0"/>
          <w:sz w:val="44"/>
          <w:szCs w:val="44"/>
        </w:rPr>
        <w:t>2022</w:t>
      </w:r>
      <w:r w:rsidRPr="00103A32">
        <w:rPr>
          <w:rFonts w:ascii="Helvetica" w:eastAsia="宋体" w:hAnsi="Helvetica" w:cs="Helvetica"/>
          <w:b/>
          <w:color w:val="000000" w:themeColor="text1"/>
          <w:kern w:val="0"/>
          <w:sz w:val="44"/>
          <w:szCs w:val="44"/>
        </w:rPr>
        <w:t>年度部门预算</w:t>
      </w:r>
    </w:p>
    <w:p w:rsidR="00BD48B3" w:rsidRPr="005E398B" w:rsidRDefault="00103A32" w:rsidP="00BE29EA">
      <w:pPr>
        <w:widowControl/>
        <w:spacing w:after="225" w:line="510" w:lineRule="atLeast"/>
        <w:jc w:val="center"/>
        <w:rPr>
          <w:rFonts w:ascii="Helvetica" w:eastAsia="宋体" w:hAnsi="Helvetica" w:cs="Helvetica"/>
          <w:b/>
          <w:color w:val="3D3D3D"/>
          <w:kern w:val="0"/>
          <w:sz w:val="44"/>
          <w:szCs w:val="44"/>
        </w:rPr>
      </w:pPr>
      <w:r w:rsidRPr="005E398B">
        <w:rPr>
          <w:rFonts w:ascii="Helvetica" w:eastAsia="宋体" w:hAnsi="Helvetica" w:cs="Helvetica" w:hint="eastAsia"/>
          <w:b/>
          <w:color w:val="3D3D3D"/>
          <w:kern w:val="0"/>
          <w:sz w:val="44"/>
          <w:szCs w:val="44"/>
        </w:rPr>
        <w:t>目</w:t>
      </w:r>
      <w:r w:rsidR="00BD48B3" w:rsidRPr="005E398B">
        <w:rPr>
          <w:rFonts w:ascii="Helvetica" w:eastAsia="宋体" w:hAnsi="Helvetica" w:cs="Helvetica"/>
          <w:b/>
          <w:color w:val="3D3D3D"/>
          <w:kern w:val="0"/>
          <w:sz w:val="44"/>
          <w:szCs w:val="44"/>
        </w:rPr>
        <w:t> </w:t>
      </w:r>
      <w:r w:rsidR="00BD48B3" w:rsidRPr="005E398B">
        <w:rPr>
          <w:rFonts w:ascii="Helvetica" w:eastAsia="宋体" w:hAnsi="Helvetica" w:cs="Helvetica"/>
          <w:b/>
          <w:color w:val="3D3D3D"/>
          <w:kern w:val="0"/>
          <w:sz w:val="44"/>
          <w:szCs w:val="44"/>
        </w:rPr>
        <w:t> </w:t>
      </w:r>
      <w:r w:rsidR="00BD48B3" w:rsidRPr="005E398B">
        <w:rPr>
          <w:rFonts w:ascii="Helvetica" w:eastAsia="宋体" w:hAnsi="Helvetica" w:cs="Helvetica"/>
          <w:b/>
          <w:color w:val="3D3D3D"/>
          <w:kern w:val="0"/>
          <w:sz w:val="44"/>
          <w:szCs w:val="44"/>
        </w:rPr>
        <w:t> </w:t>
      </w:r>
      <w:r w:rsidRPr="005E398B">
        <w:rPr>
          <w:rFonts w:ascii="Helvetica" w:eastAsia="宋体" w:hAnsi="Helvetica" w:cs="Helvetica" w:hint="eastAsia"/>
          <w:b/>
          <w:color w:val="3D3D3D"/>
          <w:kern w:val="0"/>
          <w:sz w:val="44"/>
          <w:szCs w:val="44"/>
        </w:rPr>
        <w:t>录</w:t>
      </w:r>
    </w:p>
    <w:p w:rsidR="005E398B" w:rsidRDefault="005E398B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</w:p>
    <w:p w:rsidR="00BD48B3" w:rsidRPr="005E398B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一、部门职责及机构设置情况</w:t>
      </w:r>
    </w:p>
    <w:p w:rsidR="00BD48B3" w:rsidRP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（一）部门职责</w:t>
      </w:r>
    </w:p>
    <w:p w:rsidR="00BD48B3" w:rsidRP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（二）机构设置</w:t>
      </w:r>
      <w:r w:rsidR="005C1C3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情况</w:t>
      </w:r>
    </w:p>
    <w:p w:rsidR="00BD48B3" w:rsidRPr="005E398B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二、</w:t>
      </w: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2022</w:t>
      </w: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年度部门预算表</w:t>
      </w:r>
    </w:p>
    <w:p w:rsidR="00BD48B3" w:rsidRPr="005E398B" w:rsidRDefault="00675F10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三、部门预算</w:t>
      </w:r>
      <w:r w:rsidR="00FB17A9" w:rsidRPr="005E398B">
        <w:rPr>
          <w:rFonts w:ascii="Helvetica" w:eastAsia="宋体" w:hAnsi="Helvetica" w:cs="Helvetica" w:hint="eastAsia"/>
          <w:b/>
          <w:color w:val="3D3D3D"/>
          <w:kern w:val="0"/>
          <w:sz w:val="24"/>
          <w:szCs w:val="24"/>
        </w:rPr>
        <w:t>安排</w:t>
      </w:r>
      <w:r w:rsidR="00BD48B3"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情况说明</w:t>
      </w:r>
    </w:p>
    <w:p w:rsidR="00BD48B3" w:rsidRPr="00BD48B3" w:rsidRDefault="00675F10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D3D3D"/>
          <w:kern w:val="0"/>
          <w:sz w:val="24"/>
          <w:szCs w:val="24"/>
        </w:rPr>
        <w:t>（一）</w:t>
      </w:r>
      <w:r w:rsidR="005E398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介绍</w:t>
      </w:r>
      <w:r w:rsidR="00BD48B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部门预算基本情况。</w:t>
      </w:r>
    </w:p>
    <w:p w:rsidR="00BD48B3" w:rsidRP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（二）年度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经费预算情况。</w:t>
      </w:r>
    </w:p>
    <w:p w:rsidR="00BD48B3" w:rsidRP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（三）年度机关运行经费预算情况。</w:t>
      </w:r>
    </w:p>
    <w:p w:rsid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（四）</w:t>
      </w:r>
      <w:r w:rsidR="005C1C3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一般性支出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情况。</w:t>
      </w:r>
    </w:p>
    <w:p w:rsidR="00491169" w:rsidRPr="00BD48B3" w:rsidRDefault="00491169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（五）</w:t>
      </w:r>
      <w:r w:rsidR="005C1C3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年度政府采购支出预算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情况。</w:t>
      </w:r>
    </w:p>
    <w:p w:rsidR="00BD48B3" w:rsidRPr="00BD48B3" w:rsidRDefault="00491169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D3D3D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六</w:t>
      </w:r>
      <w:r w:rsidR="00BD48B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）其他重要事项</w:t>
      </w:r>
    </w:p>
    <w:p w:rsidR="00BD48B3" w:rsidRPr="005E398B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四、专业名词解释</w:t>
      </w:r>
    </w:p>
    <w:p w:rsidR="00BD48B3" w:rsidRPr="00BD48B3" w:rsidRDefault="00BD48B3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 </w:t>
      </w:r>
    </w:p>
    <w:p w:rsidR="005E398B" w:rsidRDefault="005E398B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</w:p>
    <w:p w:rsidR="005E398B" w:rsidRDefault="005E398B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</w:p>
    <w:p w:rsidR="005E398B" w:rsidRDefault="005E398B" w:rsidP="00BD48B3">
      <w:pPr>
        <w:widowControl/>
        <w:spacing w:after="225" w:line="510" w:lineRule="atLeas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</w:p>
    <w:p w:rsidR="00BD48B3" w:rsidRPr="005E398B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黑体" w:eastAsia="黑体" w:hAnsi="黑体" w:cs="Helvetica"/>
          <w:color w:val="3D3D3D"/>
          <w:kern w:val="0"/>
          <w:sz w:val="28"/>
          <w:szCs w:val="28"/>
        </w:rPr>
      </w:pPr>
      <w:r w:rsidRPr="005E398B">
        <w:rPr>
          <w:rFonts w:ascii="黑体" w:eastAsia="黑体" w:hAnsi="黑体" w:cs="Helvetica"/>
          <w:color w:val="3D3D3D"/>
          <w:kern w:val="0"/>
          <w:sz w:val="28"/>
          <w:szCs w:val="28"/>
        </w:rPr>
        <w:lastRenderedPageBreak/>
        <w:t>一、部门职责及机构设置情况</w:t>
      </w:r>
    </w:p>
    <w:p w:rsidR="00BD48B3" w:rsidRPr="005E398B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（一）部门职责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、负责市场综合监督管理。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、负责市场主体统一登记注册。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、负责全县市场监管综合执法工作及执法队伍整合和建设，推动实行统一的市场监管。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、负责反垄断工作。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、负责监督管理市场秩序。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6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、负责宏观质量管理。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、负责产品质量安全监督管理。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、负责特种设备安全监督管理。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9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、负责食品安全监督管理综合协调。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、负责食品安全监督管理。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、负责统一管理计量工作。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、负责统一管理标准化工作。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、负责统一管理检验检测工作。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、负责统一管理、监督和综合协调全县认证认可工作。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、负责市场监督管理、知识产权领域科技和信息化建设、新闻宣传、对外交流与合作。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16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、负责实施知识产权战略，推进知识产权强县建设。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、负责保护知识产权。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、负责知识产权创造运用。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19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、负责组织开展有关服务领域消费维权工作，查处制售假冒伪劣等违法行为，指导消费者咨询、申诉、举报受理、处理和网络体系建设等工作，保护经营、消费者合法权益。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、负责药品（含中药、民族药）、医疗器械和化妆品安全监督管理。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21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、监督实施药品、医疗器械、化妆品分类管理制度，配合有关部门实施国家基本药物制度。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、负责药品、医疗器械和化妆品质量管理。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、负责药品、医疗器械和化妆品上市后风险管理。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、负责组织实施药品、医疗器械和化妆品监督检查。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、负责职责范围内食品药品行业安全生产工作。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26</w:t>
      </w:r>
      <w:r w:rsidR="00DC1011">
        <w:rPr>
          <w:rFonts w:ascii="Helvetica" w:eastAsia="宋体" w:hAnsi="Helvetica" w:cs="Helvetica"/>
          <w:color w:val="3D3D3D"/>
          <w:kern w:val="0"/>
          <w:sz w:val="24"/>
          <w:szCs w:val="24"/>
        </w:rPr>
        <w:t>、完成县</w:t>
      </w:r>
      <w:r w:rsidR="00DC1011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委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、县政府交办的其他任务</w:t>
      </w:r>
      <w:r w:rsidR="00DC1011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。</w:t>
      </w:r>
    </w:p>
    <w:p w:rsidR="00BD48B3" w:rsidRPr="005E398B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（二）</w:t>
      </w:r>
      <w:r w:rsidR="00285B58"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机构设置</w:t>
      </w:r>
      <w:r w:rsidR="005C1C3B" w:rsidRPr="005E398B">
        <w:rPr>
          <w:rFonts w:ascii="Helvetica" w:eastAsia="宋体" w:hAnsi="Helvetica" w:cs="Helvetica" w:hint="eastAsia"/>
          <w:b/>
          <w:color w:val="3D3D3D"/>
          <w:kern w:val="0"/>
          <w:sz w:val="24"/>
          <w:szCs w:val="24"/>
        </w:rPr>
        <w:t>情况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辰溪县市场监督管理局作为一级部门预算单位，</w:t>
      </w:r>
      <w:r w:rsidR="00A2378A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只包括本级预算，没有独立核算的二级机构，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内设股室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个，分别为：办公室（人事财务股）、政策法规股（行政审批服务股）、信用监督管理股、网络交易监督管理股、产品质量安全监督管理股、广告监督管理和知识产权保护股、食品安全监督管理股（食品安全协调股）、餐饮食品安全监督管理股、特种设备安全监察股、标准计量股、消费者权益保护股（投诉举报办公室、价格监督检查和反不正当竞争股、规范直销与打击传销办公室）、药品医疗器械监督管理股、执法大队。</w:t>
      </w:r>
    </w:p>
    <w:p w:rsid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按乡镇设置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个基层所，为市场监督管理局派出机构，分别为直属分局、火马冲镇市场监督管理局所、孝坪镇市场监督管理所、黄溪口镇市场监督管理所、锦滨镇市场监督管理所、安坪镇市场监督管理所、潭湾镇市场监督管理所、修溪镇市场监督管理所、田湾镇市场监督管理所、小龙门乡市场监督管理所、柿溪乡市场监督管理所、谭家场乡市场监督管理所、龙泉岩乡市场监督管理所、大水田乡市场监督管理所、龙头庵乡市场监督管理所、后塘瑶族乡市场监督管理所、仙人湾瑶族乡市场监督管理所、桥头溪乡市场监督管理所、长田湾乡市场监督管理所、船溪乡市场监督管理所、上浦溪瑶族乡市场监督管理所、罗子山瑶族乡市场监督管理所、苏木溪瑶族乡市场监督管理所。</w:t>
      </w:r>
    </w:p>
    <w:p w:rsidR="00BD48B3" w:rsidRPr="005E398B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黑体" w:eastAsia="黑体" w:hAnsi="黑体" w:cs="Helvetica"/>
          <w:color w:val="3D3D3D"/>
          <w:kern w:val="0"/>
          <w:sz w:val="28"/>
          <w:szCs w:val="28"/>
        </w:rPr>
      </w:pPr>
      <w:r w:rsidRPr="005E398B">
        <w:rPr>
          <w:rFonts w:ascii="黑体" w:eastAsia="黑体" w:hAnsi="黑体" w:cs="Helvetica"/>
          <w:color w:val="3D3D3D"/>
          <w:kern w:val="0"/>
          <w:sz w:val="28"/>
          <w:szCs w:val="28"/>
        </w:rPr>
        <w:t>二、2022年度部门预算表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、收支总表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、收入总表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、支出总表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、支出预算分类汇总表（按政府预算经济分类）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、支出预算分类汇总表（按部门预算经济分类）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,6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、财政拨款收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支总表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人员经费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工资福利支出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按政府预算经济分类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),9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人员经费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工资福利支出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按部门预算经济分类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),10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人员经费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对个人和家庭的补助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按政府预算经济分类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),11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人员经费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对个人和家庭的补助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（按部门预算经济分类）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公用经费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商品和服务支出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（按政府预算经济分类）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、一般公共预算基本支出表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--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公用经费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商品和服务支出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)(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按部门预算经济分类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),14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、一般公共预算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、政府性基金预算支出表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,16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、政府性基金预算支出分类汇总表（按政府预算经济分类）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、政府性基金预算支出分类汇总表（按部门预算经济分类）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、国有资本经营预算表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,19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、财政专户管理资金预算支出表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,20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、专项资金预算汇总表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,21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、其他项目支出绩效目标表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,22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、部门整体支出绩效目标表</w:t>
      </w:r>
      <w:r w:rsidR="005E398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</w:t>
      </w:r>
      <w:r w:rsidR="005E398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23</w:t>
      </w:r>
      <w:r w:rsidR="005E398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、一般公共预算基本支出总表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（公开表格附后）。</w:t>
      </w:r>
    </w:p>
    <w:p w:rsidR="00BD48B3" w:rsidRPr="005E398B" w:rsidRDefault="00675F10" w:rsidP="005E398B">
      <w:pPr>
        <w:widowControl/>
        <w:autoSpaceDE w:val="0"/>
        <w:autoSpaceDN w:val="0"/>
        <w:spacing w:line="500" w:lineRule="exact"/>
        <w:ind w:firstLine="482"/>
        <w:rPr>
          <w:rFonts w:ascii="黑体" w:eastAsia="黑体" w:hAnsi="黑体" w:cs="Helvetica"/>
          <w:color w:val="3D3D3D"/>
          <w:kern w:val="0"/>
          <w:sz w:val="28"/>
          <w:szCs w:val="28"/>
        </w:rPr>
      </w:pPr>
      <w:r w:rsidRPr="005E398B">
        <w:rPr>
          <w:rFonts w:ascii="黑体" w:eastAsia="黑体" w:hAnsi="黑体" w:cs="Helvetica"/>
          <w:color w:val="3D3D3D"/>
          <w:kern w:val="0"/>
          <w:sz w:val="28"/>
          <w:szCs w:val="28"/>
        </w:rPr>
        <w:t>三、部门预算</w:t>
      </w:r>
      <w:r w:rsidR="00FB17A9" w:rsidRPr="005E398B">
        <w:rPr>
          <w:rFonts w:ascii="黑体" w:eastAsia="黑体" w:hAnsi="黑体" w:cs="Helvetica" w:hint="eastAsia"/>
          <w:color w:val="3D3D3D"/>
          <w:kern w:val="0"/>
          <w:sz w:val="28"/>
          <w:szCs w:val="28"/>
        </w:rPr>
        <w:t>安排</w:t>
      </w:r>
      <w:r w:rsidR="00BD48B3" w:rsidRPr="005E398B">
        <w:rPr>
          <w:rFonts w:ascii="黑体" w:eastAsia="黑体" w:hAnsi="黑体" w:cs="Helvetica"/>
          <w:color w:val="3D3D3D"/>
          <w:kern w:val="0"/>
          <w:sz w:val="28"/>
          <w:szCs w:val="28"/>
        </w:rPr>
        <w:t>情况说明</w:t>
      </w:r>
    </w:p>
    <w:p w:rsidR="00BD48B3" w:rsidRPr="005E398B" w:rsidRDefault="00675F10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（一）</w:t>
      </w:r>
      <w:r w:rsidR="00BD48B3" w:rsidRPr="005E398B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部门预算基本情况。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．年度收支预算情况。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>①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收入预算，</w:t>
      </w:r>
      <w:r w:rsidR="005C1C3B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 xml:space="preserve"> 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="005C1C3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年初</w:t>
      </w:r>
      <w:r w:rsidR="00F73B0F">
        <w:rPr>
          <w:rFonts w:ascii="Helvetica" w:eastAsia="宋体" w:hAnsi="Helvetica" w:cs="Helvetica"/>
          <w:color w:val="3D3D3D"/>
          <w:kern w:val="0"/>
          <w:sz w:val="24"/>
          <w:szCs w:val="24"/>
        </w:rPr>
        <w:t>预算</w:t>
      </w:r>
      <w:r w:rsidR="005C1C3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数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2352.7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万元，较上年增加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369.17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万元，主要是：人员数量增加致使人员工资、公用经费及商事制度</w:t>
      </w:r>
      <w:r w:rsidR="00461FDC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改革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专项经费增加，其中，一般公共预算拨款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2352.7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万元，政府性基金预算拨款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万元，纳入财政专户管理的非税收入拨款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万元，国有资本经营预算拨款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万元。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>②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支出预算，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="00290B73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年初</w:t>
      </w:r>
      <w:r w:rsidR="003D6317">
        <w:rPr>
          <w:rFonts w:ascii="Helvetica" w:eastAsia="宋体" w:hAnsi="Helvetica" w:cs="Helvetica"/>
          <w:color w:val="3D3D3D"/>
          <w:kern w:val="0"/>
          <w:sz w:val="24"/>
          <w:szCs w:val="24"/>
        </w:rPr>
        <w:t>预算</w:t>
      </w:r>
      <w:r w:rsidR="00290B73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数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2352.7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万元，较上年增加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369.17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万元，主要是人员数量增加致使人员工资、公用经费及商事制度</w:t>
      </w:r>
      <w:r w:rsidR="00461FDC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改革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专项经费增加，其中基本支出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2122.7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万元，项目支出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万元。</w:t>
      </w:r>
    </w:p>
    <w:p w:rsid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．年度一般公共预算财政拨款支出情况。</w:t>
      </w:r>
    </w:p>
    <w:p w:rsidR="00675F10" w:rsidRPr="00BD48B3" w:rsidRDefault="00675F10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2022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年本单位一般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公共预算财政拨款支出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预算数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2352.7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万元，其中，基本支出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2122.7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万元，占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90.22%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，项目支出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230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万元，占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9.78%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。具体安排情况如下：</w:t>
      </w:r>
    </w:p>
    <w:p w:rsidR="00BD48B3" w:rsidRPr="00BD48B3" w:rsidRDefault="00BD48B3" w:rsidP="005E398B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>①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基本支出：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="0024386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预算数为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2122.7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万元，是指为保障单位机构正常运转、完成日常工作任务而发生的各项支出。其中：工资福利性支出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773.77</w:t>
      </w:r>
      <w:r w:rsidR="00675F10">
        <w:rPr>
          <w:rFonts w:ascii="Helvetica" w:eastAsia="宋体" w:hAnsi="Helvetica" w:cs="Helvetica"/>
          <w:color w:val="3D3D3D"/>
          <w:kern w:val="0"/>
          <w:sz w:val="24"/>
          <w:szCs w:val="24"/>
        </w:rPr>
        <w:t>万</w:t>
      </w:r>
      <w:r w:rsidR="00675F10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元</w:t>
      </w:r>
      <w:r w:rsidR="00675F10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，占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83.56</w:t>
      </w:r>
      <w:r w:rsidR="0040472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%</w:t>
      </w:r>
      <w:r w:rsidR="00675F10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；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商品和服务支出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338</w:t>
      </w:r>
      <w:r w:rsidR="00675F10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</w:t>
      </w:r>
      <w:r w:rsidR="00675F10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，占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15.92</w:t>
      </w:r>
      <w:r w:rsidR="0040472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%</w:t>
      </w:r>
      <w:r w:rsidR="00675F10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；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对个人和家庭补助支出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10.93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</w:t>
      </w:r>
      <w:r w:rsidR="0040472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，占</w:t>
      </w:r>
      <w:r w:rsidR="0040472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0.</w:t>
      </w:r>
      <w:r w:rsidR="0074718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52</w:t>
      </w:r>
      <w:r w:rsidR="0040472B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%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；</w:t>
      </w:r>
    </w:p>
    <w:p w:rsidR="00BD48B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>②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项目支出：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="00243862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预算数为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230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万元，是指单位为完成特定行政工作任务或事业发展目标而发生的支出，其中：市场执法监管专项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万元，流通领域商品质量抽检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92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万元，商事制度改革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100</w:t>
      </w:r>
      <w:r w:rsidR="00864AC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</w:t>
      </w:r>
      <w:r w:rsidR="00864AC3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。</w:t>
      </w:r>
    </w:p>
    <w:p w:rsidR="00243862" w:rsidRDefault="00243862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3.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政府性基金预算支出。</w:t>
      </w:r>
    </w:p>
    <w:p w:rsidR="00243862" w:rsidRPr="00BD48B3" w:rsidRDefault="00243862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本部门无政府性基金安排的支出。</w:t>
      </w:r>
    </w:p>
    <w:p w:rsidR="00BD48B3" w:rsidRPr="00BA4FD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（二）年度</w:t>
      </w: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“</w:t>
      </w: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三公</w:t>
      </w: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”</w:t>
      </w: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经费预算情况。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="00F73B0F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本单位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经费预算数为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55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万元，其中，公务接待费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万元，公务用车购置及运行费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万元（</w:t>
      </w:r>
      <w:r w:rsidR="00341169" w:rsidRPr="0034116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公务用车运行</w:t>
      </w:r>
      <w:r w:rsidR="00341169" w:rsidRPr="0034116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30</w:t>
      </w:r>
      <w:r w:rsidR="00341169" w:rsidRPr="0034116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万元、公务用车购置</w:t>
      </w:r>
      <w:r w:rsidR="00341169" w:rsidRPr="0034116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0</w:t>
      </w:r>
      <w:r w:rsidR="00341169" w:rsidRPr="0034116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），因公出国（境）费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万元。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经费预算</w:t>
      </w:r>
      <w:r w:rsidR="00476F6F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数</w:t>
      </w:r>
      <w:r w:rsidR="00476F6F">
        <w:rPr>
          <w:rFonts w:ascii="Helvetica" w:eastAsia="宋体" w:hAnsi="Helvetica" w:cs="Helvetica"/>
          <w:color w:val="3D3D3D"/>
          <w:kern w:val="0"/>
          <w:sz w:val="24"/>
          <w:szCs w:val="24"/>
        </w:rPr>
        <w:t>较上年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减少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万元，下降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15.38%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，主要因为车辆减少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台，截至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月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日已上交公车平台，车辆核销手续还未完成办理流程。</w:t>
      </w:r>
    </w:p>
    <w:p w:rsidR="00BD48B3" w:rsidRPr="00BA4FD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BA4FD3"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  <w:t>（三）年度机关运行经费预算情况。</w:t>
      </w:r>
    </w:p>
    <w:p w:rsidR="00BD48B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年辰溪县市场监督管理局机关运行经费一般公共预算拨款</w:t>
      </w:r>
      <w:r w:rsidR="00817D58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338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万元，相比上年预算数增加</w:t>
      </w:r>
      <w:r w:rsidR="00817D58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55.4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万元，提高</w:t>
      </w:r>
      <w:r w:rsidR="00817D58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19.6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%</w:t>
      </w:r>
      <w:r w:rsidR="00864AC3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，主要原因是</w:t>
      </w:r>
      <w:r w:rsidR="00864AC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人员数量增加致使人员工资、公用经费</w:t>
      </w:r>
      <w:r w:rsidR="00864AC3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增加，以</w:t>
      </w:r>
      <w:r w:rsidR="00864AC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及商事制度</w:t>
      </w:r>
      <w:r w:rsidR="00452F2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改革</w:t>
      </w:r>
      <w:r w:rsidR="00864AC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专项经费增加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。</w:t>
      </w:r>
    </w:p>
    <w:p w:rsidR="00243862" w:rsidRPr="00BA4FD3" w:rsidRDefault="00243862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b/>
          <w:color w:val="3D3D3D"/>
          <w:kern w:val="0"/>
          <w:sz w:val="24"/>
          <w:szCs w:val="24"/>
        </w:rPr>
      </w:pPr>
      <w:r w:rsidRPr="00BA4FD3">
        <w:rPr>
          <w:rFonts w:ascii="Helvetica" w:eastAsia="宋体" w:hAnsi="Helvetica" w:cs="Helvetica" w:hint="eastAsia"/>
          <w:b/>
          <w:color w:val="3D3D3D"/>
          <w:kern w:val="0"/>
          <w:sz w:val="24"/>
          <w:szCs w:val="24"/>
        </w:rPr>
        <w:t>（四）一般性支出情况。</w:t>
      </w:r>
    </w:p>
    <w:p w:rsidR="00243862" w:rsidRDefault="00243862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2022</w:t>
      </w:r>
      <w:r w:rsidR="005221D1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年本部门拟召开会议</w:t>
      </w:r>
      <w:r w:rsidR="00AD2DE8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8</w:t>
      </w:r>
      <w:r w:rsidR="006A636E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次，会议费预算</w:t>
      </w:r>
      <w:r w:rsidR="006A636E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2</w:t>
      </w:r>
      <w:r w:rsidR="006A636E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万元，具体内容为：</w:t>
      </w:r>
      <w:r w:rsidR="00EF2D8E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市场主体倍增、</w:t>
      </w:r>
      <w:r w:rsidR="00D6766F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食品安全、药品安全</w:t>
      </w:r>
      <w:r w:rsidR="00AD2DE8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、特种设备安全专项整治、电梯安全专项整治、普法宣传等会议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。</w:t>
      </w:r>
    </w:p>
    <w:p w:rsidR="00AD2DE8" w:rsidRDefault="00D6766F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拟召开培训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0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场，培训费预算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0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万元。</w:t>
      </w:r>
    </w:p>
    <w:p w:rsidR="00D6766F" w:rsidRPr="00D6766F" w:rsidRDefault="00D6766F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节庆、晚会赛事活动经费预算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0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万元。</w:t>
      </w:r>
    </w:p>
    <w:p w:rsidR="00BD48B3" w:rsidRPr="00BD48B3" w:rsidRDefault="00243862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D3D3D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五</w:t>
      </w:r>
      <w:r w:rsidR="00BD48B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）年度政府采购支出预算情况。</w:t>
      </w:r>
    </w:p>
    <w:p w:rsidR="00BD48B3" w:rsidRDefault="00BD48B3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年政府采购预算总额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万元，其中，政府采购货物预算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万元、政府采购工程预算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万元、政府采购服务预算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万元。</w:t>
      </w:r>
    </w:p>
    <w:p w:rsidR="00BD48B3" w:rsidRPr="00BD48B3" w:rsidRDefault="00F73B0F" w:rsidP="00BA4FD3">
      <w:pPr>
        <w:widowControl/>
        <w:autoSpaceDE w:val="0"/>
        <w:autoSpaceDN w:val="0"/>
        <w:spacing w:line="500" w:lineRule="exact"/>
        <w:ind w:firstLine="482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D3D3D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六</w:t>
      </w:r>
      <w:r w:rsidR="00BD48B3"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）其他重要事项</w:t>
      </w:r>
      <w:r w:rsidR="00FB17A9">
        <w:rPr>
          <w:rFonts w:ascii="Helvetica" w:eastAsia="宋体" w:hAnsi="Helvetica" w:cs="Helvetica" w:hint="eastAsia"/>
          <w:color w:val="3D3D3D"/>
          <w:kern w:val="0"/>
          <w:sz w:val="24"/>
          <w:szCs w:val="24"/>
        </w:rPr>
        <w:t>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、国有资产占用情况说明。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截至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月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日，我局共有车辆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8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辆，其中：一般执法执勤用车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7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辆，食品检测车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辆；其中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台车辆截至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2021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年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月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31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日已上交公车平台，车辆核销手续还未完成办理流程，无单位价值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50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万元以上通用设备，无单位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100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万元以上专用设备。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、预算绩效情况的说明。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优化营商环境，持续推进商事制度改革。进一步优化企业、个体工商登记全程电子化服务，推广实现电子营业执照跨区域、跨部门、跨领域的互通互用，逐步完善电子营业执照系统网上办事、身份检验、网上亮照等功能；持续优化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一网通办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服务。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提升服务效能，助推质量强县建设。全面推进质量强县建设，大力实施品牌强县战略，继续加强质量技术基础建设。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持续激励创新，强化知识产权工作。加强知识产权创作工作，多措并举保持专利申请和授权数量持续有序增长，加强知识产权保护工作。加大知识产权保护力度，比照省市局建立完善纠纷案件快速调处机制，推广应用知识产权纠纷多元化解平台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4.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严格监督执法，维护市场公平竞争。一是强力推进反垄断和反不正当竞争执法；二是紧盯重点领域开展专项治理；三是加快推进信用监管建设；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5.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守牢民生底线，严格监管安全。加强食品安全综合监管，主动担负起我县食品安全委员会牵头单位的责任，加强部门联动，深入开展重点品种、重点领域食品安全专项整治；加强两品一械安全全程监管，加强对集采药品、麻醉药品、精神药品重点品种监管，针对农村地区和城乡结合部的假劣药、过期药、回收药问题开展专项整治；继续深化医疗器械流通使用领域整治，重点整治制假售假、虚假宣传、夸大功效、翻新再售等违法违规行为；提高特种设备安全隐患排查治理能力，以气瓶、锅炉、管道燃气和电梯等为重点，扎实开展风险隐患大排查大整治；防范重点工业产品质量安全风险；加强消费维权工作，深入开展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放心消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lastRenderedPageBreak/>
        <w:t>费在辰溪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创建工程，以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315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活动为抓手，大力开展消费者权益保护宣传活动，适时举办集中销毁假冒伪劣商品行动。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6.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完成县委、县政府及上级局交办的其他各项工作任务。</w:t>
      </w:r>
    </w:p>
    <w:p w:rsidR="00BD48B3" w:rsidRPr="00BA4FD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黑体" w:eastAsia="黑体" w:hAnsi="黑体" w:cs="Helvetica"/>
          <w:color w:val="3D3D3D"/>
          <w:kern w:val="0"/>
          <w:sz w:val="28"/>
          <w:szCs w:val="28"/>
        </w:rPr>
      </w:pPr>
      <w:r w:rsidRPr="00BA4FD3">
        <w:rPr>
          <w:rFonts w:ascii="黑体" w:eastAsia="黑体" w:hAnsi="黑体" w:cs="Helvetica"/>
          <w:color w:val="3D3D3D"/>
          <w:kern w:val="0"/>
          <w:sz w:val="28"/>
          <w:szCs w:val="28"/>
        </w:rPr>
        <w:t>四、专业名词解释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1.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BD48B3" w:rsidRPr="00BD48B3" w:rsidRDefault="00BD48B3" w:rsidP="00BA4FD3">
      <w:pPr>
        <w:widowControl/>
        <w:autoSpaceDE w:val="0"/>
        <w:autoSpaceDN w:val="0"/>
        <w:spacing w:line="500" w:lineRule="exact"/>
        <w:ind w:firstLine="480"/>
        <w:rPr>
          <w:rFonts w:ascii="Helvetica" w:eastAsia="宋体" w:hAnsi="Helvetica" w:cs="Helvetica"/>
          <w:color w:val="3D3D3D"/>
          <w:kern w:val="0"/>
          <w:sz w:val="24"/>
          <w:szCs w:val="24"/>
        </w:rPr>
      </w:pP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2.“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”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经费：纳入财政预算管理的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三公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“</w:t>
      </w:r>
      <w:r w:rsidRPr="00BD48B3">
        <w:rPr>
          <w:rFonts w:ascii="Helvetica" w:eastAsia="宋体" w:hAnsi="Helvetica" w:cs="Helvetica"/>
          <w:color w:val="3D3D3D"/>
          <w:kern w:val="0"/>
          <w:sz w:val="24"/>
          <w:szCs w:val="24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A7703B" w:rsidRPr="00BD48B3" w:rsidRDefault="00A7703B" w:rsidP="00BA4FD3">
      <w:pPr>
        <w:autoSpaceDE w:val="0"/>
        <w:autoSpaceDN w:val="0"/>
        <w:spacing w:line="500" w:lineRule="exact"/>
      </w:pPr>
    </w:p>
    <w:sectPr w:rsidR="00A7703B" w:rsidRPr="00BD48B3" w:rsidSect="007D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9C" w:rsidRDefault="00F8339C" w:rsidP="00BD48B3">
      <w:r>
        <w:separator/>
      </w:r>
    </w:p>
  </w:endnote>
  <w:endnote w:type="continuationSeparator" w:id="1">
    <w:p w:rsidR="00F8339C" w:rsidRDefault="00F8339C" w:rsidP="00BD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9C" w:rsidRDefault="00F8339C" w:rsidP="00BD48B3">
      <w:r>
        <w:separator/>
      </w:r>
    </w:p>
  </w:footnote>
  <w:footnote w:type="continuationSeparator" w:id="1">
    <w:p w:rsidR="00F8339C" w:rsidRDefault="00F8339C" w:rsidP="00BD4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8B3"/>
    <w:rsid w:val="00103A32"/>
    <w:rsid w:val="00243862"/>
    <w:rsid w:val="00285B58"/>
    <w:rsid w:val="00290B73"/>
    <w:rsid w:val="00316DC5"/>
    <w:rsid w:val="00341169"/>
    <w:rsid w:val="00357B0C"/>
    <w:rsid w:val="003A5144"/>
    <w:rsid w:val="003D6317"/>
    <w:rsid w:val="0040472B"/>
    <w:rsid w:val="00452F29"/>
    <w:rsid w:val="00461FDC"/>
    <w:rsid w:val="00476F6F"/>
    <w:rsid w:val="00491169"/>
    <w:rsid w:val="005221D1"/>
    <w:rsid w:val="005C1C3B"/>
    <w:rsid w:val="005C331A"/>
    <w:rsid w:val="005D6BAA"/>
    <w:rsid w:val="005E398B"/>
    <w:rsid w:val="00650B83"/>
    <w:rsid w:val="00675F10"/>
    <w:rsid w:val="0068593F"/>
    <w:rsid w:val="006A636E"/>
    <w:rsid w:val="00747182"/>
    <w:rsid w:val="00752CA8"/>
    <w:rsid w:val="00752DE1"/>
    <w:rsid w:val="007D38F7"/>
    <w:rsid w:val="00804EA5"/>
    <w:rsid w:val="00813DB3"/>
    <w:rsid w:val="00817D58"/>
    <w:rsid w:val="00864AC3"/>
    <w:rsid w:val="008A4080"/>
    <w:rsid w:val="00A2378A"/>
    <w:rsid w:val="00A36A67"/>
    <w:rsid w:val="00A7703B"/>
    <w:rsid w:val="00AA54B6"/>
    <w:rsid w:val="00AB2C8F"/>
    <w:rsid w:val="00AD2DE8"/>
    <w:rsid w:val="00B6304D"/>
    <w:rsid w:val="00BA4FD3"/>
    <w:rsid w:val="00BD48B3"/>
    <w:rsid w:val="00BE29EA"/>
    <w:rsid w:val="00CD4B9E"/>
    <w:rsid w:val="00D6766F"/>
    <w:rsid w:val="00DA3584"/>
    <w:rsid w:val="00DB51E5"/>
    <w:rsid w:val="00DC1011"/>
    <w:rsid w:val="00E569DA"/>
    <w:rsid w:val="00EF2D8E"/>
    <w:rsid w:val="00F12DE5"/>
    <w:rsid w:val="00F73B0F"/>
    <w:rsid w:val="00F8339C"/>
    <w:rsid w:val="00F94E8B"/>
    <w:rsid w:val="00FB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48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8B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48B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D4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fbdate">
    <w:name w:val="article_fbdate"/>
    <w:basedOn w:val="a0"/>
    <w:rsid w:val="00BD48B3"/>
  </w:style>
  <w:style w:type="character" w:customStyle="1" w:styleId="articlexxly">
    <w:name w:val="article_xxly"/>
    <w:basedOn w:val="a0"/>
    <w:rsid w:val="00BD4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8EB"/>
            <w:right w:val="none" w:sz="0" w:space="0" w:color="auto"/>
          </w:divBdr>
        </w:div>
        <w:div w:id="497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8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632</Words>
  <Characters>3608</Characters>
  <Application>Microsoft Office Word</Application>
  <DocSecurity>0</DocSecurity>
  <Lines>30</Lines>
  <Paragraphs>8</Paragraphs>
  <ScaleCrop>false</ScaleCrop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</dc:creator>
  <cp:lastModifiedBy>Zgl</cp:lastModifiedBy>
  <cp:revision>4</cp:revision>
  <cp:lastPrinted>2023-08-31T01:22:00Z</cp:lastPrinted>
  <dcterms:created xsi:type="dcterms:W3CDTF">2023-09-23T12:57:00Z</dcterms:created>
  <dcterms:modified xsi:type="dcterms:W3CDTF">2023-09-24T04:05:00Z</dcterms:modified>
</cp:coreProperties>
</file>