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87D62">
      <w:pPr>
        <w:keepNext w:val="0"/>
        <w:keepLines w:val="0"/>
        <w:widowControl/>
        <w:suppressLineNumbers w:val="0"/>
        <w:shd w:val="clear" w:color="auto" w:fill="auto"/>
        <w:spacing w:before="0" w:beforeAutospacing="0" w:after="0" w:afterAutospacing="0" w:line="600" w:lineRule="atLeast"/>
        <w:ind w:left="0" w:right="0"/>
        <w:jc w:val="both"/>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7885A065">
      <w:pPr>
        <w:shd w:val="clear" w:color="auto" w:fill="auto"/>
        <w:spacing w:line="600" w:lineRule="exact"/>
        <w:ind w:firstLine="624" w:firstLineChars="200"/>
        <w:rPr>
          <w:rFonts w:hint="default" w:ascii="Times New Roman" w:hAnsi="Times New Roman" w:eastAsia="黑体" w:cs="Times New Roman"/>
          <w:spacing w:val="-4"/>
          <w:sz w:val="32"/>
          <w:szCs w:val="32"/>
        </w:rPr>
      </w:pPr>
    </w:p>
    <w:p w14:paraId="49758B2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default" w:ascii="方正小标宋简体" w:hAnsi="方正小标宋简体" w:eastAsia="方正小标宋简体" w:cs="方正小标宋简体"/>
          <w:b w:val="0"/>
          <w:bCs w:val="0"/>
          <w:kern w:val="0"/>
          <w:sz w:val="44"/>
          <w:szCs w:val="44"/>
          <w:lang w:val="en-US" w:eastAsia="zh-CN" w:bidi="ar"/>
        </w:rPr>
      </w:pPr>
      <w:r>
        <w:rPr>
          <w:rFonts w:hint="default" w:ascii="方正小标宋简体" w:hAnsi="方正小标宋简体" w:eastAsia="方正小标宋简体" w:cs="方正小标宋简体"/>
          <w:b w:val="0"/>
          <w:bCs w:val="0"/>
          <w:kern w:val="0"/>
          <w:sz w:val="44"/>
          <w:szCs w:val="44"/>
          <w:lang w:val="en-US" w:eastAsia="zh-CN" w:bidi="ar"/>
        </w:rPr>
        <w:t>经营主体年报填报指南</w:t>
      </w:r>
    </w:p>
    <w:p w14:paraId="767AB96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default" w:ascii="方正小标宋简体" w:hAnsi="方正小标宋简体" w:eastAsia="方正小标宋简体" w:cs="方正小标宋简体"/>
          <w:b w:val="0"/>
          <w:bCs w:val="0"/>
          <w:kern w:val="0"/>
          <w:sz w:val="44"/>
          <w:szCs w:val="44"/>
          <w:lang w:val="en-US" w:eastAsia="zh-CN" w:bidi="ar"/>
        </w:rPr>
      </w:pPr>
      <w:r>
        <w:rPr>
          <w:rFonts w:hint="default" w:ascii="方正小标宋简体" w:hAnsi="方正小标宋简体" w:eastAsia="方正小标宋简体" w:cs="方正小标宋简体"/>
          <w:b w:val="0"/>
          <w:bCs w:val="0"/>
          <w:kern w:val="0"/>
          <w:sz w:val="44"/>
          <w:szCs w:val="44"/>
          <w:lang w:val="en-US" w:eastAsia="zh-CN" w:bidi="ar"/>
        </w:rPr>
        <w:t>（国家企业信用信息公示系统）</w:t>
      </w:r>
    </w:p>
    <w:p w14:paraId="492EFE3F">
      <w:pPr>
        <w:shd w:val="clear" w:color="auto" w:fill="auto"/>
        <w:spacing w:line="600" w:lineRule="exact"/>
        <w:ind w:firstLine="624" w:firstLineChars="200"/>
        <w:rPr>
          <w:rFonts w:hint="default" w:ascii="Times New Roman" w:hAnsi="Times New Roman" w:eastAsia="黑体" w:cs="Times New Roman"/>
          <w:spacing w:val="-4"/>
          <w:sz w:val="32"/>
          <w:szCs w:val="32"/>
        </w:rPr>
      </w:pPr>
    </w:p>
    <w:p w14:paraId="1C51373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14:paraId="48ACA3E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14:paraId="35D3A37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14:paraId="056868D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访问国家企业信用信息公示系统（湖南）（https://hn.gsxt.gov.cn）点击</w:t>
      </w:r>
      <w:r>
        <w:rPr>
          <w:rFonts w:hint="eastAsia" w:ascii="仿宋_GB2312" w:hAnsi="仿宋_GB2312" w:eastAsia="仿宋_GB2312" w:cs="仿宋_GB2312"/>
          <w:spacing w:val="-4"/>
          <w:sz w:val="32"/>
          <w:szCs w:val="32"/>
        </w:rPr>
        <w:t>“企业信息填报”</w:t>
      </w:r>
      <w:r>
        <w:rPr>
          <w:rFonts w:hint="default" w:ascii="Times New Roman" w:hAnsi="Times New Roman" w:eastAsia="仿宋_GB2312" w:cs="Times New Roman"/>
          <w:spacing w:val="-4"/>
          <w:sz w:val="32"/>
          <w:szCs w:val="32"/>
        </w:rPr>
        <w:t>，或湖南省市场监督管理局官网（https://amr.hunan.gov.cn/）在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服务</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栏目找到</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高频应用-企业年度报告填报</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进入经营主体年报填报登录页面。</w:t>
      </w:r>
    </w:p>
    <w:p w14:paraId="74AE7D9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种登录方式：</w:t>
      </w:r>
    </w:p>
    <w:p w14:paraId="50E94A1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rPr>
        <w:t>电子营业执照登录。适用于已领取电子营业执照的企业。</w:t>
      </w:r>
    </w:p>
    <w:p w14:paraId="3C63B52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联络员备案须知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w:t>
      </w:r>
    </w:p>
    <w:p w14:paraId="427D5F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14:paraId="09AEF66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年度报告填写</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409E306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我已阅读以上填报须知</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，并</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确认</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56C38EC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14:paraId="0EF74FA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14:paraId="10750B4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14:paraId="5219673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14:paraId="03CA40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疫苗生产许可证</w:t>
      </w:r>
    </w:p>
    <w:p w14:paraId="6CDA24D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w:t>
      </w:r>
      <w:r>
        <w:rPr>
          <w:rFonts w:hint="eastAsia" w:ascii="仿宋_GB2312" w:hAnsi="仿宋_GB2312" w:eastAsia="仿宋_GB2312" w:cs="仿宋_GB2312"/>
          <w:sz w:val="32"/>
          <w:szCs w:val="32"/>
        </w:rPr>
        <w:t>击“添加”，填写相关信息，点击“保存”，返回“疫苗生产许可证”页</w:t>
      </w:r>
      <w:r>
        <w:rPr>
          <w:rFonts w:hint="default" w:ascii="Times New Roman" w:hAnsi="Times New Roman" w:eastAsia="仿宋_GB2312" w:cs="Times New Roman"/>
          <w:sz w:val="32"/>
          <w:szCs w:val="32"/>
        </w:rPr>
        <w:t>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14:paraId="24691D7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充装单位许可证</w:t>
      </w:r>
    </w:p>
    <w:p w14:paraId="2D5DCE4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w:t>
      </w:r>
      <w:r>
        <w:rPr>
          <w:rFonts w:hint="eastAsia" w:ascii="仿宋_GB2312" w:hAnsi="仿宋_GB2312" w:eastAsia="仿宋_GB2312" w:cs="仿宋_GB2312"/>
          <w:sz w:val="32"/>
          <w:szCs w:val="32"/>
        </w:rPr>
        <w:t>也可修改或删除信息。点击“添加”，填写相关信息，点击“保存”，返回“充装单位许可证”页面，再点击“保存”。企业无此信息</w:t>
      </w:r>
      <w:r>
        <w:rPr>
          <w:rFonts w:hint="default" w:ascii="Times New Roman" w:hAnsi="Times New Roman" w:eastAsia="仿宋_GB2312" w:cs="Times New Roman"/>
          <w:sz w:val="32"/>
          <w:szCs w:val="32"/>
        </w:rPr>
        <w:t>时可以不填写该项内容。</w:t>
      </w:r>
    </w:p>
    <w:p w14:paraId="1C1ED96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特种设备生产许可证</w:t>
      </w:r>
    </w:p>
    <w:p w14:paraId="39EA973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w:t>
      </w:r>
      <w:r>
        <w:rPr>
          <w:rFonts w:hint="eastAsia" w:ascii="仿宋_GB2312" w:hAnsi="仿宋_GB2312" w:eastAsia="仿宋_GB2312" w:cs="仿宋_GB2312"/>
          <w:sz w:val="32"/>
          <w:szCs w:val="32"/>
        </w:rPr>
        <w:t>点击“添加”，填写相关信息，点击“保存”，返回“特种设备生产许”页面，再点击“保存”。企业无此信息时可以不填写该项</w:t>
      </w:r>
      <w:r>
        <w:rPr>
          <w:rFonts w:hint="default" w:ascii="Times New Roman" w:hAnsi="Times New Roman" w:eastAsia="仿宋_GB2312" w:cs="Times New Roman"/>
          <w:sz w:val="32"/>
          <w:szCs w:val="32"/>
        </w:rPr>
        <w:t>内容。</w:t>
      </w:r>
    </w:p>
    <w:p w14:paraId="4C081C8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特种设备信息</w:t>
      </w:r>
    </w:p>
    <w:p w14:paraId="7775F60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填写特种设备信息的数据，</w:t>
      </w:r>
      <w:r>
        <w:rPr>
          <w:rFonts w:hint="eastAsia" w:ascii="仿宋_GB2312" w:hAnsi="仿宋_GB2312" w:eastAsia="仿宋_GB2312" w:cs="仿宋_GB2312"/>
          <w:sz w:val="32"/>
          <w:szCs w:val="32"/>
        </w:rPr>
        <w:t>点击“保存”。</w:t>
      </w:r>
    </w:p>
    <w:p w14:paraId="3D73E5F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工业产品获证企业年度自查报告</w:t>
      </w:r>
    </w:p>
    <w:p w14:paraId="21D6F2B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进入工业产品生产许可证列表页面，点击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，可以修改已填报的工业产品生产许可证自查报告，点击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，保存成功，返回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工业产品生产许可证列表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页面。企业无此信息时可以不填写该项内容。</w:t>
      </w:r>
    </w:p>
    <w:p w14:paraId="71DCC6C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sz w:val="32"/>
          <w:szCs w:val="32"/>
        </w:rPr>
        <w:t>企业基本信息</w:t>
      </w:r>
    </w:p>
    <w:p w14:paraId="0C8CFE4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30CC38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7B27043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年12月31日的信息。</w:t>
      </w:r>
    </w:p>
    <w:p w14:paraId="660E51E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左侧信息栏相关信息则为灰色，无法填报。</w:t>
      </w:r>
    </w:p>
    <w:p w14:paraId="37814E2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7.</w:t>
      </w:r>
      <w:r>
        <w:rPr>
          <w:rFonts w:hint="default" w:ascii="Times New Roman" w:hAnsi="Times New Roman" w:eastAsia="仿宋_GB2312" w:cs="Times New Roman"/>
          <w:sz w:val="32"/>
          <w:szCs w:val="32"/>
        </w:rPr>
        <w:t>股东及出资信息</w:t>
      </w:r>
    </w:p>
    <w:p w14:paraId="2280F4B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w:t>
      </w:r>
      <w:r>
        <w:rPr>
          <w:rFonts w:hint="eastAsia" w:ascii="仿宋_GB2312" w:hAnsi="仿宋_GB2312" w:eastAsia="仿宋_GB2312" w:cs="仿宋_GB2312"/>
          <w:sz w:val="32"/>
          <w:szCs w:val="32"/>
        </w:rPr>
        <w:t>“添加”</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股东及出资信息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EFCEC8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14:paraId="6D9A09A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sz w:val="32"/>
          <w:szCs w:val="32"/>
        </w:rPr>
        <w:t>网站或网店信息</w:t>
      </w:r>
    </w:p>
    <w:p w14:paraId="6695BC9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w:t>
      </w:r>
    </w:p>
    <w:p w14:paraId="3EE0FA3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9.</w:t>
      </w:r>
      <w:r>
        <w:rPr>
          <w:rFonts w:hint="default" w:ascii="Times New Roman" w:hAnsi="Times New Roman" w:eastAsia="仿宋_GB2312" w:cs="Times New Roman"/>
          <w:sz w:val="32"/>
          <w:szCs w:val="32"/>
        </w:rPr>
        <w:t>股权变更信息</w:t>
      </w:r>
    </w:p>
    <w:p w14:paraId="470FE2B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股权变更信息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A10E17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14:paraId="14C488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10.</w:t>
      </w:r>
      <w:r>
        <w:rPr>
          <w:rFonts w:hint="default" w:ascii="Times New Roman" w:hAnsi="Times New Roman" w:eastAsia="仿宋_GB2312" w:cs="Times New Roman"/>
          <w:sz w:val="32"/>
          <w:szCs w:val="32"/>
        </w:rPr>
        <w:t>对外投资信息</w:t>
      </w:r>
    </w:p>
    <w:p w14:paraId="6621258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对外投资信息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5BBA66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14:paraId="112AF95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sz w:val="32"/>
          <w:szCs w:val="32"/>
        </w:rPr>
        <w:t>资产状况信息</w:t>
      </w:r>
    </w:p>
    <w:p w14:paraId="17D696B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21E26B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14:paraId="568F5D1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sz w:val="32"/>
          <w:szCs w:val="32"/>
        </w:rPr>
        <w:t>对外担保信息</w:t>
      </w:r>
    </w:p>
    <w:p w14:paraId="7F52960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对外担保信息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BCF86D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sz w:val="32"/>
          <w:szCs w:val="32"/>
        </w:rPr>
        <w:t>党建信息</w:t>
      </w:r>
    </w:p>
    <w:p w14:paraId="36C6DF2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8E6444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sz w:val="32"/>
          <w:szCs w:val="32"/>
        </w:rPr>
        <w:t>团建信息</w:t>
      </w:r>
    </w:p>
    <w:p w14:paraId="1214D35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04EE6F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14:paraId="3C0082D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sz w:val="32"/>
          <w:szCs w:val="32"/>
        </w:rPr>
        <w:t>社保信息</w:t>
      </w:r>
    </w:p>
    <w:p w14:paraId="7F0CD9B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3E8B90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14:paraId="368B4C7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sz w:val="32"/>
          <w:szCs w:val="32"/>
        </w:rPr>
        <w:t>报关信息</w:t>
      </w:r>
    </w:p>
    <w:p w14:paraId="69A1695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C73D5C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33B7B0E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B47378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经营补充信息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为所报告年度的信息，其余信息均为报送时的信息。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仅部分企业需要填报。</w:t>
      </w:r>
    </w:p>
    <w:p w14:paraId="5F1BA49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经营者英文名称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企业名称（英文）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，国际货运代理企业填《国际货运代理企业备案表》上的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，其他企业或组织机构可以根据情况填写。</w:t>
      </w:r>
    </w:p>
    <w:p w14:paraId="070FCA7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w:t>
      </w:r>
      <w:r>
        <w:rPr>
          <w:rFonts w:hint="default" w:ascii="Times New Roman" w:hAnsi="Times New Roman" w:eastAsia="仿宋_GB2312" w:cs="Times New Roman"/>
          <w:spacing w:val="-2"/>
          <w:sz w:val="32"/>
          <w:szCs w:val="32"/>
        </w:rPr>
        <w:t>商务企业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电子商务交易平台</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物流企业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支付企业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监管场所运营人</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，可同时勾选多项；非跨境贸易电子商务企业不勾选。</w:t>
      </w:r>
    </w:p>
    <w:p w14:paraId="0C02DB8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14:paraId="1ECDE87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7.</w:t>
      </w:r>
      <w:r>
        <w:rPr>
          <w:rFonts w:hint="default" w:ascii="Times New Roman" w:hAnsi="Times New Roman" w:eastAsia="仿宋_GB2312" w:cs="Times New Roman"/>
          <w:spacing w:val="-2"/>
          <w:sz w:val="32"/>
          <w:szCs w:val="32"/>
        </w:rPr>
        <w:t>外商投资企业基本情况</w:t>
      </w:r>
    </w:p>
    <w:p w14:paraId="3224F2D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F49530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14:paraId="16FCC71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14:paraId="270CBE9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14:paraId="322087A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14:paraId="6D92C97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14:paraId="6104055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14:paraId="4D6259F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14:paraId="1890D0E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14:paraId="1CBB9C6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14:paraId="4056679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14:paraId="57C11CD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14:paraId="50A5919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14:paraId="0198756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14:paraId="53A59CE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8.</w:t>
      </w:r>
      <w:r>
        <w:rPr>
          <w:rFonts w:hint="default" w:ascii="Times New Roman" w:hAnsi="Times New Roman" w:eastAsia="仿宋_GB2312" w:cs="Times New Roman"/>
          <w:spacing w:val="-2"/>
          <w:sz w:val="32"/>
          <w:szCs w:val="32"/>
        </w:rPr>
        <w:t>投资者信息</w:t>
      </w:r>
    </w:p>
    <w:p w14:paraId="7F8EB8B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p>
    <w:p w14:paraId="7A327AE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01D3934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中国</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14:paraId="60311CE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全球最大五百家公司</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排行榜实际情况填写。</w:t>
      </w:r>
    </w:p>
    <w:p w14:paraId="47659AA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14:paraId="0597D57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14:paraId="4CE645D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14:paraId="15DA2BE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9.</w:t>
      </w:r>
      <w:r>
        <w:rPr>
          <w:rFonts w:hint="default" w:ascii="Times New Roman" w:hAnsi="Times New Roman" w:eastAsia="仿宋_GB2312" w:cs="Times New Roman"/>
          <w:spacing w:val="-2"/>
          <w:sz w:val="32"/>
          <w:szCs w:val="32"/>
        </w:rPr>
        <w:t>外商投资经营情况</w:t>
      </w:r>
    </w:p>
    <w:p w14:paraId="3F27FEB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1C5163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79C8CDE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14:paraId="71A32C3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14:paraId="375416E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14:paraId="2C4958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14:paraId="2C0D156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14:paraId="303035F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14:paraId="7EE681E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14:paraId="24B102C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14:paraId="5E56C21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14:paraId="2834401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14:paraId="339D235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14:paraId="4BA50BE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表示。按报告年度财务会计报告中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利润总额</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6EBA9BA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表示。按当年财务会计报告中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净利润</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44FF528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14:paraId="4622611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分配外方股东的利润：指报告年度实际分配外方股东的利润。</w:t>
      </w:r>
    </w:p>
    <w:p w14:paraId="1265B51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汇往外方股东的利润：指报告年度实际汇往外方股东的利润。</w:t>
      </w:r>
    </w:p>
    <w:p w14:paraId="17957BA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外方股东利润转投资：指报告年度外方股东利润转投资金额。</w:t>
      </w:r>
    </w:p>
    <w:p w14:paraId="62F5EE7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14:paraId="5DD6C05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14:paraId="0CE63DC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14:paraId="365F66C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14:paraId="1F19DAF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14:paraId="4D0FE7E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非流动资产-固定资产：与会计准则中资产负债表的概念一致。</w:t>
      </w:r>
    </w:p>
    <w:p w14:paraId="6B431E5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非流动资产-无形资产：与会计准则中资产负债表的概念一致。</w:t>
      </w:r>
    </w:p>
    <w:p w14:paraId="1E7CA4B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14:paraId="5BE532F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14:paraId="64B43B9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14:paraId="2E9D6CF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14:paraId="24EA43A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14:paraId="678A2FF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14:paraId="3A3E4AE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14:paraId="7EEFC0B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14:paraId="5C523FF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14:paraId="77DF482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14:paraId="542A696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所有者权益合计-其他：与会计准则中资产负债表的概念一致。</w:t>
      </w:r>
    </w:p>
    <w:p w14:paraId="0CFA41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14:paraId="43E7FBF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14:paraId="0A84817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14:paraId="0B48F1C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14:paraId="5AE980D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14:paraId="707DCFD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14:paraId="7AFAC98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lang w:val="en-US" w:eastAsia="zh-CN"/>
        </w:rPr>
        <w:t>20</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债券、债务情况</w:t>
      </w:r>
    </w:p>
    <w:p w14:paraId="38A0A20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64C292D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1</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进口设备减免税情况</w:t>
      </w:r>
    </w:p>
    <w:p w14:paraId="7830027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079FBDA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2</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资产负债情况</w:t>
      </w:r>
    </w:p>
    <w:p w14:paraId="3F435AB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7B3C813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rPr>
      </w:pPr>
      <w:r>
        <w:rPr>
          <w:rFonts w:hint="default" w:ascii="Times New Roman" w:hAnsi="Times New Roman" w:eastAsia="仿宋_GB2312" w:cs="Times New Roman"/>
          <w:color w:val="0C0C0C"/>
          <w:spacing w:val="-2"/>
          <w:sz w:val="32"/>
          <w:szCs w:val="32"/>
        </w:rPr>
        <w:t>★★★</w:t>
      </w:r>
      <w:r>
        <w:rPr>
          <w:rFonts w:hint="default" w:ascii="Times New Roman" w:hAnsi="Times New Roman" w:eastAsia="仿宋_GB2312" w:cs="Times New Roman"/>
          <w:color w:val="0C0C0C"/>
          <w:spacing w:val="-2"/>
          <w:sz w:val="32"/>
          <w:szCs w:val="32"/>
          <w:lang w:val="en-US" w:eastAsia="zh-CN"/>
        </w:rPr>
        <w:t>大型</w:t>
      </w:r>
      <w:r>
        <w:rPr>
          <w:rFonts w:hint="default" w:ascii="Times New Roman" w:hAnsi="Times New Roman" w:eastAsia="仿宋_GB2312" w:cs="Times New Roman"/>
          <w:color w:val="0C0C0C"/>
          <w:spacing w:val="-2"/>
          <w:sz w:val="32"/>
          <w:szCs w:val="32"/>
        </w:rPr>
        <w:t>企业还需要填报以下信息项。★★★</w:t>
      </w:r>
    </w:p>
    <w:p w14:paraId="563766BB">
      <w:pPr>
        <w:pStyle w:val="4"/>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ascii="Times New Roman" w:hAnsi="Times New Roman" w:cs="Times New Roman"/>
          <w:color w:val="0C0C0C"/>
        </w:rPr>
      </w:pPr>
      <w:r>
        <w:rPr>
          <w:rFonts w:hint="default" w:ascii="Times New Roman" w:hAnsi="Times New Roman" w:eastAsia="仿宋_GB2312" w:cs="Times New Roman"/>
          <w:color w:val="0C0C0C"/>
          <w:spacing w:val="-2"/>
          <w:sz w:val="32"/>
          <w:szCs w:val="32"/>
        </w:rPr>
        <w:t>2</w:t>
      </w:r>
      <w:r>
        <w:rPr>
          <w:rFonts w:hint="default" w:ascii="Times New Roman" w:hAnsi="Times New Roman" w:eastAsia="仿宋_GB2312" w:cs="Times New Roman"/>
          <w:color w:val="0C0C0C"/>
          <w:spacing w:val="-2"/>
          <w:sz w:val="32"/>
          <w:szCs w:val="32"/>
          <w:lang w:val="en-US" w:eastAsia="zh-CN"/>
        </w:rPr>
        <w:t>2</w:t>
      </w:r>
      <w:r>
        <w:rPr>
          <w:rFonts w:hint="default" w:ascii="Times New Roman" w:hAnsi="Times New Roman" w:eastAsia="仿宋_GB2312" w:cs="Times New Roman"/>
          <w:color w:val="0C0C0C"/>
          <w:spacing w:val="-2"/>
          <w:sz w:val="32"/>
          <w:szCs w:val="32"/>
        </w:rPr>
        <w:t>、</w:t>
      </w:r>
      <w:r>
        <w:rPr>
          <w:rFonts w:hint="default" w:ascii="Times New Roman" w:hAnsi="Times New Roman" w:cs="Times New Roman"/>
          <w:color w:val="0C0C0C"/>
        </w:rPr>
        <w:t>窗体顶端</w:t>
      </w:r>
    </w:p>
    <w:p w14:paraId="3B82B8D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5"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b/>
          <w:bCs/>
          <w:color w:val="0C0C0C"/>
          <w:spacing w:val="-2"/>
          <w:sz w:val="32"/>
          <w:szCs w:val="32"/>
          <w:lang w:val="en-US" w:eastAsia="zh-CN"/>
        </w:rPr>
        <w:t>2</w:t>
      </w:r>
      <w:r>
        <w:rPr>
          <w:rFonts w:hint="eastAsia" w:ascii="Times New Roman" w:hAnsi="Times New Roman" w:eastAsia="仿宋_GB2312" w:cs="Times New Roman"/>
          <w:b/>
          <w:bCs/>
          <w:color w:val="0C0C0C"/>
          <w:spacing w:val="-2"/>
          <w:sz w:val="32"/>
          <w:szCs w:val="32"/>
          <w:lang w:val="en-US" w:eastAsia="zh-CN"/>
        </w:rPr>
        <w:t>3</w:t>
      </w:r>
      <w:r>
        <w:rPr>
          <w:rFonts w:hint="eastAsia" w:ascii="Times New Roman" w:hAnsi="Times New Roman" w:eastAsia="仿宋_GB2312" w:cs="Times New Roman"/>
          <w:color w:val="0C0C0C"/>
          <w:spacing w:val="-2"/>
          <w:sz w:val="32"/>
          <w:szCs w:val="32"/>
          <w:lang w:val="en-US" w:eastAsia="zh-CN"/>
        </w:rPr>
        <w:t>.</w:t>
      </w:r>
      <w:r>
        <w:rPr>
          <w:rFonts w:hint="default" w:ascii="Times New Roman" w:hAnsi="Times New Roman" w:eastAsia="仿宋_GB2312" w:cs="Times New Roman"/>
          <w:color w:val="0C0C0C"/>
          <w:spacing w:val="-2"/>
          <w:sz w:val="32"/>
          <w:szCs w:val="32"/>
          <w:lang w:val="en-US" w:eastAsia="zh-CN"/>
        </w:rPr>
        <w:t xml:space="preserve">逾期尚未支付合同情况 </w:t>
      </w:r>
    </w:p>
    <w:p w14:paraId="5575B48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rPr>
      </w:pPr>
      <w:r>
        <w:rPr>
          <w:rFonts w:hint="default" w:ascii="Times New Roman" w:hAnsi="Times New Roman" w:eastAsia="仿宋_GB2312" w:cs="Times New Roman"/>
          <w:color w:val="0C0C0C"/>
          <w:spacing w:val="-2"/>
          <w:sz w:val="32"/>
          <w:szCs w:val="32"/>
        </w:rPr>
        <w:t>填写</w:t>
      </w:r>
      <w:r>
        <w:rPr>
          <w:rFonts w:hint="default" w:ascii="Times New Roman" w:hAnsi="Times New Roman" w:eastAsia="仿宋_GB2312" w:cs="Times New Roman"/>
          <w:color w:val="0C0C0C"/>
          <w:spacing w:val="-2"/>
          <w:sz w:val="32"/>
          <w:szCs w:val="32"/>
          <w:lang w:val="en-US" w:eastAsia="zh-CN"/>
        </w:rPr>
        <w:t>逾期尚未支付合同情况，</w:t>
      </w:r>
      <w:r>
        <w:rPr>
          <w:rFonts w:hint="default" w:ascii="Times New Roman" w:hAnsi="Times New Roman" w:eastAsia="仿宋_GB2312" w:cs="Times New Roman"/>
          <w:color w:val="0C0C0C"/>
          <w:spacing w:val="-2"/>
          <w:sz w:val="32"/>
          <w:szCs w:val="32"/>
        </w:rPr>
        <w:t>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C0C0C"/>
          <w:spacing w:val="-2"/>
          <w:sz w:val="32"/>
          <w:szCs w:val="32"/>
        </w:rPr>
        <w:t>。</w:t>
      </w:r>
    </w:p>
    <w:p w14:paraId="41FC501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填写说明：</w:t>
      </w:r>
    </w:p>
    <w:p w14:paraId="6EB0B04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a.是否存在《保障中小企业款项支付条例》（国务院令第728号）规定的逾期尚未支付中小企业款项的情形：</w:t>
      </w:r>
    </w:p>
    <w:p w14:paraId="496481C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①从中小企业采购货物、工程、服务，未按照约定付款期限及时支付款项的；合同约定采取履行进度结算、定期结算等结算方式的，付款期限自双方确认结算金额之日起算，逾期尚未支付款项的。</w:t>
      </w:r>
    </w:p>
    <w:p w14:paraId="2329000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②与中小企业约定以货物、工程、服务交付后经检验或者验收合格作为支付中小企业款项条件的，付款期限自检验或者验收合格之日起算，逾期尚未支付款项的。</w:t>
      </w:r>
    </w:p>
    <w:p w14:paraId="7DFF067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拖延检验或者验收的，付款期限自约定的检验或者验收期限届满之日起算，逾期尚未支付款项的。</w:t>
      </w:r>
    </w:p>
    <w:p w14:paraId="606BCA1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③强制中小企业接受商业汇票等非现金支付方式，利用商业汇票等非现金支付方式变相延长付款期限的。</w:t>
      </w:r>
    </w:p>
    <w:p w14:paraId="599145E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④强制要求以审计机关的审计结果作为结算依据，逾期尚未支付款项的，但合同另有约定或者法律、行政法规另有规定的除外。</w:t>
      </w:r>
    </w:p>
    <w:p w14:paraId="68E342E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⑤</w:t>
      </w:r>
      <w:r>
        <w:rPr>
          <w:rFonts w:hint="default" w:ascii="Times New Roman" w:hAnsi="Times New Roman" w:eastAsia="仿宋_GB2312" w:cs="Times New Roman"/>
          <w:i w:val="0"/>
          <w:caps w:val="0"/>
          <w:color w:val="0C0C0C"/>
          <w:spacing w:val="0"/>
          <w:sz w:val="32"/>
          <w:szCs w:val="32"/>
          <w:shd w:val="clear" w:color="auto" w:fill="FFFFFF"/>
          <w:lang w:eastAsia="zh-CN"/>
        </w:rPr>
        <w:t>不按照合同约定，在保证期限届满后及时与中小企业对收取的保证金进行核实和结算的。</w:t>
      </w:r>
    </w:p>
    <w:p w14:paraId="11B5934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lang w:val="en-US" w:eastAsia="zh-CN"/>
        </w:rPr>
      </w:pPr>
      <w:r>
        <w:rPr>
          <w:rFonts w:hint="default" w:ascii="Times New Roman" w:hAnsi="Times New Roman" w:eastAsia="仿宋_GB2312" w:cs="Times New Roman"/>
          <w:color w:val="0C0C0C"/>
          <w:spacing w:val="-2"/>
          <w:sz w:val="32"/>
          <w:szCs w:val="32"/>
          <w:lang w:val="en-US" w:eastAsia="zh-CN"/>
        </w:rPr>
        <w:t>b.逾期尚未支付中小企业款项的合同数量：存在以上情形的合同数量。</w:t>
      </w:r>
    </w:p>
    <w:p w14:paraId="035DC1B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C0C0C"/>
          <w:spacing w:val="-2"/>
          <w:sz w:val="32"/>
          <w:szCs w:val="32"/>
        </w:rPr>
      </w:pPr>
      <w:r>
        <w:rPr>
          <w:rFonts w:hint="default" w:ascii="Times New Roman" w:hAnsi="Times New Roman" w:eastAsia="仿宋_GB2312" w:cs="Times New Roman"/>
          <w:color w:val="0C0C0C"/>
          <w:spacing w:val="-2"/>
          <w:sz w:val="32"/>
          <w:szCs w:val="32"/>
          <w:lang w:val="en-US" w:eastAsia="zh-CN"/>
        </w:rPr>
        <w:t>c.逾期尚未支付中小企业款项的合同金额：存在以上情形的合同金额。</w:t>
      </w:r>
    </w:p>
    <w:p w14:paraId="3BFBD0C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14:paraId="60B78C2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预览并公示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页面，检查填报内容是否无误。</w:t>
      </w:r>
    </w:p>
    <w:p w14:paraId="50BD99C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14:paraId="52DFB9F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，完成本年度年报公示；如未点击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，则所填写信息仅保存成功，未进行公示，年报未完成。报送成功后页面自动显示记录。</w:t>
      </w:r>
    </w:p>
    <w:p w14:paraId="2E2CE8E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14:paraId="6BB6096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企业年报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信息中可查询已报送信息，如无信息，则未完成年报。</w:t>
      </w:r>
    </w:p>
    <w:p w14:paraId="7A6AD0B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14:paraId="44050EB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14:paraId="5D63FAC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企业发现其年报内容不准确的，可于202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年6月30日前进入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页面进行更正（6月30日后更正功能关闭）。</w:t>
      </w:r>
    </w:p>
    <w:p w14:paraId="38470DA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14:paraId="56B0374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sz w:val="32"/>
          <w:szCs w:val="32"/>
        </w:rPr>
        <w:t>企业在填报年报时如遇问题，请拨打所属登记机关电话进行咨询</w:t>
      </w:r>
      <w:r>
        <w:rPr>
          <w:rFonts w:hint="eastAsia" w:ascii="Times New Roman" w:hAnsi="Times New Roman" w:eastAsia="仿宋_GB2312" w:cs="Times New Roman"/>
          <w:sz w:val="32"/>
          <w:szCs w:val="32"/>
          <w:lang w:eastAsia="zh-CN"/>
        </w:rPr>
        <w:t>，即</w:t>
      </w:r>
      <w:r>
        <w:rPr>
          <w:rFonts w:hint="default" w:ascii="Times New Roman" w:hAnsi="Times New Roman" w:eastAsia="仿宋_GB2312" w:cs="Times New Roman"/>
          <w:color w:val="000000"/>
          <w:sz w:val="32"/>
          <w:szCs w:val="32"/>
          <w:lang w:val="en-US" w:eastAsia="zh-CN"/>
        </w:rPr>
        <w:t>辰溪县</w:t>
      </w:r>
      <w:r>
        <w:rPr>
          <w:rFonts w:hint="default" w:ascii="Times New Roman" w:hAnsi="Times New Roman" w:eastAsia="仿宋_GB2312" w:cs="Times New Roman"/>
          <w:color w:val="000000"/>
          <w:sz w:val="32"/>
          <w:szCs w:val="32"/>
        </w:rPr>
        <w:t>市场监管局：</w:t>
      </w:r>
      <w:r>
        <w:rPr>
          <w:rFonts w:hint="default" w:ascii="Times New Roman" w:hAnsi="Times New Roman" w:eastAsia="仿宋_GB2312" w:cs="Times New Roman"/>
          <w:color w:val="000000"/>
          <w:sz w:val="32"/>
          <w:szCs w:val="32"/>
          <w:lang w:val="en-US" w:eastAsia="zh-CN"/>
        </w:rPr>
        <w:t>0745-5222795</w:t>
      </w:r>
      <w:r>
        <w:rPr>
          <w:rFonts w:hint="eastAsia" w:ascii="Times New Roman" w:hAnsi="Times New Roman" w:eastAsia="仿宋_GB2312" w:cs="Times New Roman"/>
          <w:color w:val="000000"/>
          <w:sz w:val="32"/>
          <w:szCs w:val="32"/>
          <w:lang w:val="en-US" w:eastAsia="zh-CN"/>
        </w:rPr>
        <w:t>。</w:t>
      </w:r>
    </w:p>
    <w:p w14:paraId="58E5BB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5373E"/>
    <w:rsid w:val="6035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2"/>
    <w:next w:val="1"/>
    <w:qFormat/>
    <w:uiPriority w:val="0"/>
    <w:pPr>
      <w:widowControl w:val="0"/>
      <w:pBdr>
        <w:bottom w:val="single" w:color="auto" w:sz="6" w:space="1"/>
      </w:pBdr>
      <w:jc w:val="center"/>
    </w:pPr>
    <w:rPr>
      <w:rFonts w:ascii="Arial" w:hAnsi="Calibri" w:eastAsia="宋体" w:cs="Times New Roman"/>
      <w:vanish/>
      <w:kern w:val="2"/>
      <w:sz w:val="1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2026-01-21T09:20:00Z</dcterms:created>
  <dc:creator>小东</dc:creator>
  <cp:lastModifiedBy>小东</cp:lastModifiedBy>
  <dcterms:modified xsi:type="dcterms:W3CDTF">2026-01-21T09:23:52Z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79BFBE01906E47E9B2EF399F66B98486_11</vt:lpwstr>
  </property>
  <property fmtid="{D5CDD505-2E9C-101B-9397-08002B2CF9AE}" pid="4" name="KSOTemplateDocerSaveRecord">
    <vt:lpwstr>eyJoZGlkIjoiZmM5YjRlYWU1NTFhOGJjODhhNTUyYzA4ZDY4ODEyZjIiLCJ1c2VySWQiOiIyNzg3MTc4ODcifQ==</vt:lpwstr>
  </property>
</Properties>
</file>