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部门整体支出绩效评价共性指标框架（参考）</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p>
        </w:tc>
      </w:tr>
    </w:tbl>
    <w:p/>
    <w:p>
      <w:pPr>
        <w:widowControl/>
        <w:jc w:val="left"/>
      </w:pPr>
      <w:r>
        <w:br w:type="page"/>
      </w: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ascii="仿宋" w:hAnsi="仿宋" w:eastAsia="仿宋"/>
        </w:rPr>
      </w:pPr>
      <w:r>
        <w:rPr>
          <w:rFonts w:hint="eastAsia" w:ascii="仿宋" w:hAnsi="仿宋" w:eastAsia="仿宋"/>
        </w:rPr>
        <w:t>填报单位：</w:t>
      </w:r>
    </w:p>
    <w:tbl>
      <w:tblPr>
        <w:tblStyle w:val="4"/>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58</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51</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lang w:val="en-US" w:eastAsia="zh-CN"/>
              </w:rPr>
              <w:t>87.93</w:t>
            </w:r>
            <w:r>
              <w:rPr>
                <w:rFonts w:hint="eastAsia" w:ascii="仿宋" w:hAnsi="仿宋" w:eastAsia="仿宋"/>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2019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9.39</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33.90</w:t>
            </w:r>
          </w:p>
        </w:tc>
        <w:tc>
          <w:tcPr>
            <w:tcW w:w="2244"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33.90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1.47</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13.00</w:t>
            </w:r>
          </w:p>
        </w:tc>
        <w:tc>
          <w:tcPr>
            <w:tcW w:w="2244"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92"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1.47</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13.00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lang w:val="en-US" w:eastAsia="zh-CN"/>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92"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7.92</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20.90</w:t>
            </w:r>
          </w:p>
        </w:tc>
        <w:tc>
          <w:tcPr>
            <w:tcW w:w="2244"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844.23</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171.60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lang w:val="en-US" w:eastAsia="zh-CN"/>
              </w:rPr>
              <w:t>715.78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92"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92"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vAlign w:val="top"/>
          </w:tcPr>
          <w:p>
            <w:pPr>
              <w:spacing w:line="440" w:lineRule="exact"/>
              <w:rPr>
                <w:rFonts w:ascii="仿宋" w:hAnsi="仿宋" w:eastAsia="仿宋"/>
              </w:rPr>
            </w:pPr>
          </w:p>
        </w:tc>
        <w:tc>
          <w:tcPr>
            <w:tcW w:w="2292" w:type="dxa"/>
            <w:tcBorders>
              <w:left w:val="nil"/>
            </w:tcBorders>
            <w:vAlign w:val="top"/>
          </w:tcPr>
          <w:p>
            <w:pPr>
              <w:spacing w:line="440" w:lineRule="exact"/>
              <w:rPr>
                <w:rFonts w:ascii="仿宋" w:hAnsi="仿宋" w:eastAsia="仿宋"/>
              </w:rPr>
            </w:pPr>
          </w:p>
        </w:tc>
        <w:tc>
          <w:tcPr>
            <w:tcW w:w="2244" w:type="dxa"/>
            <w:tcBorders>
              <w:left w:val="nil"/>
            </w:tcBorders>
            <w:vAlign w:val="top"/>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127.06</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341.68</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lang w:val="en-US" w:eastAsia="zh-CN"/>
              </w:rPr>
              <w:t>168.18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7.37</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62.94</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lang w:val="en-US" w:eastAsia="zh-CN"/>
              </w:rPr>
              <w:t>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27.34</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6.23</w:t>
            </w:r>
          </w:p>
        </w:tc>
        <w:tc>
          <w:tcPr>
            <w:tcW w:w="2244"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92" w:type="dxa"/>
            <w:tcBorders>
              <w:left w:val="nil"/>
            </w:tcBorders>
            <w:vAlign w:val="top"/>
          </w:tcPr>
          <w:p>
            <w:pPr>
              <w:spacing w:line="440" w:lineRule="exact"/>
              <w:rPr>
                <w:rFonts w:hint="default" w:ascii="仿宋" w:hAnsi="仿宋" w:eastAsia="仿宋"/>
                <w:lang w:val="en-US" w:eastAsia="zh-CN"/>
              </w:rPr>
            </w:pPr>
            <w:r>
              <w:rPr>
                <w:rFonts w:hint="eastAsia" w:ascii="仿宋" w:hAnsi="仿宋" w:eastAsia="仿宋"/>
                <w:lang w:val="en-US" w:eastAsia="zh-CN"/>
              </w:rPr>
              <w:t>22.00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vAlign w:val="top"/>
          </w:tcPr>
          <w:p>
            <w:pPr>
              <w:spacing w:line="440" w:lineRule="exact"/>
              <w:rPr>
                <w:rFonts w:ascii="仿宋" w:hAnsi="仿宋" w:eastAsia="仿宋"/>
              </w:rPr>
            </w:pPr>
            <w:r>
              <w:rPr>
                <w:rFonts w:hint="eastAsia" w:ascii="仿宋" w:hAnsi="仿宋" w:eastAsia="仿宋"/>
              </w:rPr>
              <w:t>0</w:t>
            </w:r>
          </w:p>
        </w:tc>
        <w:tc>
          <w:tcPr>
            <w:tcW w:w="2244" w:type="dxa"/>
            <w:tcBorders>
              <w:left w:val="nil"/>
            </w:tcBorders>
            <w:vAlign w:val="top"/>
          </w:tcPr>
          <w:p>
            <w:pPr>
              <w:spacing w:line="440" w:lineRule="exact"/>
              <w:rPr>
                <w:rFonts w:ascii="仿宋" w:hAnsi="仿宋" w:eastAsia="仿宋"/>
              </w:rPr>
            </w:pPr>
            <w:r>
              <w:rPr>
                <w:rFonts w:hint="eastAsia" w:ascii="仿宋" w:hAnsi="仿宋" w:eastAsia="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vAlign w:val="top"/>
          </w:tcPr>
          <w:p>
            <w:pPr>
              <w:spacing w:line="440" w:lineRule="exact"/>
              <w:rPr>
                <w:rFonts w:ascii="仿宋" w:hAnsi="仿宋" w:eastAsia="仿宋"/>
              </w:rPr>
            </w:pPr>
          </w:p>
        </w:tc>
        <w:tc>
          <w:tcPr>
            <w:tcW w:w="2244" w:type="dxa"/>
            <w:tcBorders>
              <w:left w:val="nil"/>
            </w:tcBorders>
            <w:vAlign w:val="top"/>
          </w:tcPr>
          <w:p>
            <w:pPr>
              <w:spacing w:line="440" w:lineRule="exact"/>
              <w:rPr>
                <w:rFonts w:ascii="仿宋" w:hAnsi="仿宋" w:eastAsia="仿宋"/>
              </w:rPr>
            </w:pPr>
          </w:p>
        </w:tc>
      </w:tr>
    </w:tbl>
    <w:p>
      <w:pPr>
        <w:spacing w:line="400" w:lineRule="exact"/>
        <w:rPr>
          <w:rFonts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
    <w:p/>
    <w:p/>
    <w:p/>
    <w:p/>
    <w:p/>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widowControl/>
        <w:spacing w:line="600" w:lineRule="exact"/>
        <w:jc w:val="left"/>
        <w:rPr>
          <w:rFonts w:eastAsia="黑体"/>
          <w:kern w:val="0"/>
          <w:sz w:val="32"/>
          <w:szCs w:val="32"/>
        </w:rPr>
      </w:pPr>
    </w:p>
    <w:p>
      <w:pPr>
        <w:spacing w:line="600" w:lineRule="exact"/>
        <w:jc w:val="center"/>
        <w:rPr>
          <w:rFonts w:eastAsia="方正小标宋_GBK"/>
          <w:sz w:val="32"/>
          <w:szCs w:val="32"/>
        </w:rPr>
      </w:pPr>
      <w:r>
        <w:rPr>
          <w:rFonts w:hint="eastAsia" w:eastAsia="方正小标宋_GBK"/>
          <w:sz w:val="36"/>
          <w:szCs w:val="36"/>
        </w:rPr>
        <w:t>部门整体支出绩效评价报告</w:t>
      </w:r>
    </w:p>
    <w:p>
      <w:pPr>
        <w:spacing w:line="600" w:lineRule="exact"/>
        <w:jc w:val="center"/>
        <w:rPr>
          <w:rFonts w:eastAsia="方正小标宋_GBK"/>
          <w:sz w:val="32"/>
          <w:szCs w:val="32"/>
        </w:rPr>
      </w:pPr>
    </w:p>
    <w:p>
      <w:pPr>
        <w:pStyle w:val="8"/>
        <w:widowControl/>
        <w:numPr>
          <w:ilvl w:val="0"/>
          <w:numId w:val="1"/>
        </w:numPr>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部门、单位基本情况</w:t>
      </w:r>
    </w:p>
    <w:p>
      <w:pPr>
        <w:widowControl/>
        <w:numPr>
          <w:ilvl w:val="0"/>
          <w:numId w:val="0"/>
        </w:numPr>
        <w:spacing w:line="560" w:lineRule="exact"/>
        <w:ind w:firstLine="321" w:firstLineChars="100"/>
        <w:jc w:val="left"/>
        <w:rPr>
          <w:rFonts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国家国内外贸易、国际经济合作和区域经济合作的发展战略、政策，起草我县国内外贸易、招商引资、承接产业转移、对外援助、对外投资和对外经济合作的规范性文件，研究经济全球化、区域经济合作、现代流通方式的发展超势和流通体制改革并提出建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负责推进流通产业结构调整，指导流通企业改革促进商贸服务业和社区商业发展，提出促进中小商贸企业发展的政策建议，推动流通标准化和连锁经营、商业特许经营、物流配送、电子商务等现代流通方式的发展。</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承担牵头协调整顿和规范市场经济秩序工作的责任，拟订规范市场秩序的政策；推动商务领域信用建设，指导商业信用销售，建立市场诚信公共服务平台；按有关规定对特殊流通行业进行监督管理。</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承担组织实施重要消费品市场调控和重要生产资料（成品油）流通管理的责任，监测分析重要消费品的市场运行、商品供求状况，调查分析重要消费品价格信息，进行预测预馨和信息引导；按有关规定对成品油流通进行监督管理。</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国家进出口商品、加工贸易管理办法和进出口管理商品、技术目录，拟订促进外贸增长方式转变的政策措施，组织实施重要工业品、原材料和重要农产品进出口总量计划，会同有关部门协调大宗商品的进出口，指导贸易促进活动和外贸促进体系建设。</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贯彻执行国家对外技术贸易、出口管制以及鼓励技术和成套设备进出口的贸易政策，推进进出口贸易标准化工作；依法监督技术引进、设备进口、国家限制出口技术的工作。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牵头拟订服务贸易发展规划并开展相关工作；会同有关部门制定促进服务出口、服务外包的规划、政策并组织实施，推动服务外包平台建设。</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我国多双边（含区域、自由贸易区）经贸合作战略和政策，推进我县与其他国家（地区）的经贸往来与投资贸易合作；牵头承担全县商务领域涉及世界贸易组织事务的相关工作，负责对外经济贸易协调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负责组织协调反倾销、反补贴、保障措施及其他与进出口公平贸易相关的工作，协助开展对外贸易调查和产业损害调查，指导协调产业安全应对工作。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指导和管理全县招商引资、投资促进和承接产业转移工作，拟订并组织实施招商引资和承接产业转移政策：指导投资促进及全县外商投资企业审批备案工作。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拟订并组织实施对外经济合作政策；依法管理和监督对外承包工程、对外劳务合作等：拟订县内人员出境就业管理政策并组织实施，负责牵头外派劳务和境外就业人员的权益保护工作；拟订境外投资的具体政策，指导县内企业对外投资开办企业（金融企业除外）按程序报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贯彻执行国家对外援助政策和方案，协调管理全县承担的对外援助项目；协调管理多双边对我县的无偿援助和赠款（不含财政合作项下外国政府及国际金融组织的赠款）等发展合作业务。</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贯彻执行国家对香港、澳门特别行政区和台湾地区的经贸规划、政策，指导我县对港、澳、台地区贸易和经贸合作活动，协调港、澳、台商投资管理工作。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承担会展业促进与管理有关工作。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负责全县商贸行业安全生产监督管理工作。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完成县委、县政府交办的其他任务。</w:t>
      </w:r>
    </w:p>
    <w:p>
      <w:pPr>
        <w:widowControl/>
        <w:spacing w:line="560" w:lineRule="exact"/>
        <w:ind w:firstLine="1272" w:firstLineChars="396"/>
        <w:jc w:val="left"/>
        <w:rPr>
          <w:rFonts w:ascii="宋体" w:cs="仿宋"/>
          <w:b/>
          <w:bCs/>
          <w:sz w:val="32"/>
          <w:szCs w:val="32"/>
        </w:rPr>
      </w:pPr>
      <w:r>
        <w:rPr>
          <w:rFonts w:hint="eastAsia" w:ascii="宋体" w:hAnsi="宋体" w:cs="仿宋"/>
          <w:b/>
          <w:bCs/>
          <w:sz w:val="32"/>
          <w:szCs w:val="32"/>
        </w:rPr>
        <w:t>（二）机构设置情况</w:t>
      </w:r>
    </w:p>
    <w:p>
      <w:pPr>
        <w:ind w:firstLine="640" w:firstLineChars="200"/>
        <w:rPr>
          <w:rFonts w:ascii="宋体"/>
          <w:sz w:val="32"/>
          <w:szCs w:val="32"/>
        </w:rPr>
      </w:pPr>
      <w:r>
        <w:rPr>
          <w:rFonts w:hint="eastAsia" w:asciiTheme="minorEastAsia" w:hAnsiTheme="minorEastAsia"/>
          <w:bCs/>
          <w:kern w:val="0"/>
          <w:sz w:val="32"/>
          <w:szCs w:val="32"/>
        </w:rPr>
        <w:t>辰溪县商务局单位内设机构包括：办公室、商贸流通和服务发展股、电子商务股、政策法规和市场秩序股、投资促进事务中心</w:t>
      </w:r>
      <w:r>
        <w:rPr>
          <w:rFonts w:hint="eastAsia" w:ascii="宋体" w:hAnsi="宋体" w:cs="仿宋"/>
          <w:sz w:val="32"/>
          <w:szCs w:val="32"/>
        </w:rPr>
        <w:t>。</w:t>
      </w:r>
      <w:r>
        <w:rPr>
          <w:rFonts w:hint="eastAsia" w:ascii="宋体" w:hAnsi="宋体"/>
          <w:sz w:val="32"/>
          <w:szCs w:val="32"/>
        </w:rPr>
        <w:t>全额事业编制</w:t>
      </w:r>
      <w:r>
        <w:rPr>
          <w:rFonts w:hint="eastAsia" w:ascii="宋体" w:hAnsi="宋体"/>
          <w:sz w:val="32"/>
          <w:szCs w:val="32"/>
          <w:lang w:val="en-US" w:eastAsia="zh-CN"/>
        </w:rPr>
        <w:t>58</w:t>
      </w:r>
      <w:r>
        <w:rPr>
          <w:rFonts w:hint="eastAsia" w:ascii="宋体" w:hAnsi="宋体"/>
          <w:sz w:val="32"/>
          <w:szCs w:val="32"/>
        </w:rPr>
        <w:t>名。截至</w:t>
      </w:r>
      <w:r>
        <w:rPr>
          <w:rFonts w:ascii="宋体" w:hAnsi="宋体"/>
          <w:sz w:val="32"/>
          <w:szCs w:val="32"/>
        </w:rPr>
        <w:t>20</w:t>
      </w:r>
      <w:r>
        <w:rPr>
          <w:rFonts w:hint="eastAsia" w:ascii="宋体" w:hAnsi="宋体"/>
          <w:sz w:val="32"/>
          <w:szCs w:val="32"/>
        </w:rPr>
        <w:t>20年</w:t>
      </w:r>
      <w:r>
        <w:rPr>
          <w:rFonts w:ascii="宋体" w:hAnsi="宋体"/>
          <w:sz w:val="32"/>
          <w:szCs w:val="32"/>
        </w:rPr>
        <w:t>12</w:t>
      </w:r>
      <w:r>
        <w:rPr>
          <w:rFonts w:hint="eastAsia" w:ascii="宋体" w:hAnsi="宋体"/>
          <w:sz w:val="32"/>
          <w:szCs w:val="32"/>
        </w:rPr>
        <w:t>月底，在职在编人员</w:t>
      </w:r>
      <w:r>
        <w:rPr>
          <w:rFonts w:hint="eastAsia" w:ascii="宋体" w:hAnsi="宋体"/>
          <w:sz w:val="32"/>
          <w:szCs w:val="32"/>
          <w:lang w:val="en-US" w:eastAsia="zh-CN"/>
        </w:rPr>
        <w:t>51</w:t>
      </w:r>
      <w:r>
        <w:rPr>
          <w:rFonts w:hint="eastAsia" w:ascii="宋体" w:hAnsi="宋体"/>
          <w:sz w:val="32"/>
          <w:szCs w:val="32"/>
        </w:rPr>
        <w:t>人，其中</w:t>
      </w:r>
      <w:r>
        <w:rPr>
          <w:rFonts w:hint="eastAsia" w:ascii="宋体" w:hAnsi="宋体"/>
          <w:sz w:val="32"/>
          <w:szCs w:val="32"/>
          <w:lang w:eastAsia="zh-CN"/>
        </w:rPr>
        <w:t>行政编</w:t>
      </w:r>
      <w:r>
        <w:rPr>
          <w:rFonts w:hint="eastAsia" w:ascii="宋体" w:hAnsi="宋体"/>
          <w:sz w:val="32"/>
          <w:szCs w:val="32"/>
          <w:lang w:val="en-US" w:eastAsia="zh-CN"/>
        </w:rPr>
        <w:t>8人，</w:t>
      </w:r>
      <w:r>
        <w:rPr>
          <w:rFonts w:hint="eastAsia" w:ascii="宋体" w:hAnsi="宋体"/>
          <w:sz w:val="32"/>
          <w:szCs w:val="32"/>
        </w:rPr>
        <w:t>公勤人员</w:t>
      </w:r>
      <w:r>
        <w:rPr>
          <w:rFonts w:hint="eastAsia" w:ascii="宋体" w:hAnsi="宋体"/>
          <w:sz w:val="32"/>
          <w:szCs w:val="32"/>
          <w:lang w:val="en-US" w:eastAsia="zh-CN"/>
        </w:rPr>
        <w:t>1</w:t>
      </w:r>
      <w:r>
        <w:rPr>
          <w:rFonts w:hint="eastAsia" w:ascii="宋体" w:hAnsi="宋体"/>
          <w:sz w:val="32"/>
          <w:szCs w:val="32"/>
        </w:rPr>
        <w:t>人，</w:t>
      </w:r>
      <w:r>
        <w:rPr>
          <w:rFonts w:hint="eastAsia" w:ascii="宋体" w:hAnsi="宋体"/>
          <w:sz w:val="32"/>
          <w:szCs w:val="32"/>
          <w:lang w:eastAsia="zh-CN"/>
        </w:rPr>
        <w:t>执法编</w:t>
      </w:r>
      <w:r>
        <w:rPr>
          <w:rFonts w:hint="eastAsia" w:ascii="宋体" w:hAnsi="宋体"/>
          <w:sz w:val="32"/>
          <w:szCs w:val="32"/>
          <w:lang w:val="en-US" w:eastAsia="zh-CN"/>
        </w:rPr>
        <w:t>27人，</w:t>
      </w:r>
      <w:r>
        <w:rPr>
          <w:rFonts w:hint="eastAsia" w:ascii="宋体" w:hAnsi="宋体"/>
          <w:sz w:val="32"/>
          <w:szCs w:val="32"/>
          <w:lang w:eastAsia="zh-CN"/>
        </w:rPr>
        <w:t>投资促进事务中心</w:t>
      </w:r>
      <w:r>
        <w:rPr>
          <w:rFonts w:hint="eastAsia" w:ascii="宋体" w:hAnsi="宋体"/>
          <w:sz w:val="32"/>
          <w:szCs w:val="32"/>
          <w:lang w:val="en-US" w:eastAsia="zh-CN"/>
        </w:rPr>
        <w:t>10</w:t>
      </w:r>
      <w:r>
        <w:rPr>
          <w:rFonts w:hint="eastAsia" w:ascii="宋体" w:hAnsi="宋体"/>
          <w:sz w:val="32"/>
          <w:szCs w:val="32"/>
        </w:rPr>
        <w:t>人。</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8"/>
        <w:widowControl/>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（一）基本支出情况</w:t>
      </w:r>
    </w:p>
    <w:p>
      <w:pPr>
        <w:widowControl/>
        <w:ind w:firstLine="640" w:firstLineChars="200"/>
        <w:rPr>
          <w:rFonts w:ascii="宋体" w:cs="仿宋"/>
          <w:kern w:val="0"/>
          <w:sz w:val="32"/>
          <w:szCs w:val="32"/>
        </w:rPr>
      </w:pPr>
      <w:r>
        <w:rPr>
          <w:rFonts w:ascii="宋体" w:hAnsi="宋体" w:cs="仿宋"/>
          <w:sz w:val="32"/>
          <w:szCs w:val="32"/>
        </w:rPr>
        <w:t>20</w:t>
      </w:r>
      <w:r>
        <w:rPr>
          <w:rFonts w:hint="eastAsia" w:ascii="宋体" w:hAnsi="宋体" w:cs="仿宋"/>
          <w:sz w:val="32"/>
          <w:szCs w:val="32"/>
        </w:rPr>
        <w:t>20年部门整体支出总计2938.92万元，其中：基本支出817.78万元，占</w:t>
      </w:r>
      <w:r>
        <w:rPr>
          <w:rFonts w:hint="eastAsia" w:ascii="宋体" w:hAnsi="宋体" w:cs="仿宋"/>
          <w:sz w:val="32"/>
          <w:szCs w:val="32"/>
          <w:lang w:val="en-US" w:eastAsia="zh-CN"/>
        </w:rPr>
        <w:t>27.83</w:t>
      </w:r>
      <w:r>
        <w:rPr>
          <w:rFonts w:ascii="宋体" w:hAnsi="宋体" w:cs="仿宋"/>
          <w:sz w:val="32"/>
          <w:szCs w:val="32"/>
        </w:rPr>
        <w:t>%</w:t>
      </w:r>
      <w:r>
        <w:rPr>
          <w:rFonts w:hint="eastAsia" w:ascii="宋体" w:hAnsi="宋体" w:cs="仿宋"/>
          <w:sz w:val="32"/>
          <w:szCs w:val="32"/>
        </w:rPr>
        <w:t>；项目支出715.78万元，占</w:t>
      </w:r>
      <w:r>
        <w:rPr>
          <w:rFonts w:hint="eastAsia" w:ascii="宋体" w:hAnsi="宋体" w:cs="仿宋"/>
          <w:sz w:val="32"/>
          <w:szCs w:val="32"/>
          <w:lang w:val="en-US" w:eastAsia="zh-CN"/>
        </w:rPr>
        <w:t>24.36</w:t>
      </w:r>
      <w:r>
        <w:rPr>
          <w:rFonts w:ascii="宋体" w:hAnsi="宋体" w:cs="仿宋"/>
          <w:sz w:val="32"/>
          <w:szCs w:val="32"/>
        </w:rPr>
        <w:t>%</w:t>
      </w:r>
      <w:r>
        <w:rPr>
          <w:rFonts w:hint="eastAsia" w:ascii="宋体" w:hAnsi="宋体" w:cs="仿宋"/>
          <w:sz w:val="32"/>
          <w:szCs w:val="32"/>
        </w:rPr>
        <w:t>；上缴上级支出</w:t>
      </w:r>
      <w:r>
        <w:rPr>
          <w:rFonts w:ascii="宋体" w:hAnsi="宋体" w:cs="仿宋"/>
          <w:sz w:val="32"/>
          <w:szCs w:val="32"/>
        </w:rPr>
        <w:t>0</w:t>
      </w:r>
      <w:r>
        <w:rPr>
          <w:rFonts w:hint="eastAsia" w:ascii="宋体" w:hAnsi="宋体" w:cs="仿宋"/>
          <w:sz w:val="32"/>
          <w:szCs w:val="32"/>
        </w:rPr>
        <w:t>万元，占</w:t>
      </w:r>
      <w:r>
        <w:rPr>
          <w:rFonts w:ascii="宋体" w:hAnsi="宋体" w:cs="仿宋"/>
          <w:sz w:val="32"/>
          <w:szCs w:val="32"/>
        </w:rPr>
        <w:t>0%</w:t>
      </w:r>
      <w:r>
        <w:rPr>
          <w:rFonts w:hint="eastAsia" w:ascii="宋体" w:hAnsi="宋体" w:cs="仿宋"/>
          <w:sz w:val="32"/>
          <w:szCs w:val="32"/>
        </w:rPr>
        <w:t>；经营支出</w:t>
      </w:r>
      <w:r>
        <w:rPr>
          <w:rFonts w:ascii="宋体" w:hAnsi="宋体" w:cs="仿宋"/>
          <w:sz w:val="32"/>
          <w:szCs w:val="32"/>
        </w:rPr>
        <w:t>0</w:t>
      </w:r>
      <w:r>
        <w:rPr>
          <w:rFonts w:hint="eastAsia" w:ascii="宋体" w:hAnsi="宋体" w:cs="仿宋"/>
          <w:sz w:val="32"/>
          <w:szCs w:val="32"/>
        </w:rPr>
        <w:t>万元，占</w:t>
      </w:r>
      <w:r>
        <w:rPr>
          <w:rFonts w:ascii="宋体" w:hAnsi="宋体" w:cs="仿宋"/>
          <w:sz w:val="32"/>
          <w:szCs w:val="32"/>
        </w:rPr>
        <w:t>0%</w:t>
      </w:r>
      <w:r>
        <w:rPr>
          <w:rFonts w:hint="eastAsia" w:ascii="宋体" w:hAnsi="宋体" w:cs="仿宋"/>
          <w:sz w:val="32"/>
          <w:szCs w:val="32"/>
        </w:rPr>
        <w:t>；对附属单位补助支出</w:t>
      </w:r>
      <w:r>
        <w:rPr>
          <w:rFonts w:ascii="宋体" w:hAnsi="宋体" w:cs="仿宋"/>
          <w:sz w:val="32"/>
          <w:szCs w:val="32"/>
        </w:rPr>
        <w:t>0</w:t>
      </w:r>
      <w:r>
        <w:rPr>
          <w:rFonts w:hint="eastAsia" w:ascii="宋体" w:hAnsi="宋体" w:cs="仿宋"/>
          <w:sz w:val="32"/>
          <w:szCs w:val="32"/>
        </w:rPr>
        <w:t>万元，占</w:t>
      </w:r>
      <w:r>
        <w:rPr>
          <w:rFonts w:ascii="宋体" w:hAnsi="宋体" w:cs="仿宋"/>
          <w:sz w:val="32"/>
          <w:szCs w:val="32"/>
        </w:rPr>
        <w:t>0%</w:t>
      </w:r>
      <w:r>
        <w:rPr>
          <w:rFonts w:hint="eastAsia" w:ascii="宋体" w:hAnsi="宋体" w:cs="仿宋"/>
          <w:sz w:val="32"/>
          <w:szCs w:val="32"/>
        </w:rPr>
        <w:t>。与</w:t>
      </w:r>
      <w:r>
        <w:rPr>
          <w:rFonts w:ascii="宋体" w:hAnsi="宋体" w:cs="仿宋"/>
          <w:sz w:val="32"/>
          <w:szCs w:val="32"/>
        </w:rPr>
        <w:t>201</w:t>
      </w:r>
      <w:r>
        <w:rPr>
          <w:rFonts w:hint="eastAsia" w:ascii="宋体" w:hAnsi="宋体" w:cs="仿宋"/>
          <w:sz w:val="32"/>
          <w:szCs w:val="32"/>
        </w:rPr>
        <w:t>9年相比，部门整体支出</w:t>
      </w:r>
      <w:r>
        <w:rPr>
          <w:rFonts w:hint="eastAsia" w:asciiTheme="minorEastAsia" w:hAnsiTheme="minorEastAsia" w:eastAsiaTheme="minorEastAsia"/>
          <w:sz w:val="32"/>
          <w:szCs w:val="32"/>
        </w:rPr>
        <w:t>增加804.48万元，增长37.69%，主要是因为项目资金增加</w:t>
      </w:r>
      <w:r>
        <w:rPr>
          <w:rFonts w:hint="eastAsia" w:ascii="宋体" w:hAnsi="宋体" w:cs="仿宋"/>
          <w:kern w:val="0"/>
          <w:sz w:val="32"/>
          <w:szCs w:val="32"/>
        </w:rPr>
        <w:t>。</w:t>
      </w:r>
    </w:p>
    <w:p>
      <w:pPr>
        <w:ind w:firstLine="640" w:firstLineChars="200"/>
        <w:rPr>
          <w:rFonts w:ascii="宋体" w:cs="仿宋"/>
          <w:sz w:val="32"/>
          <w:szCs w:val="32"/>
        </w:rPr>
      </w:pPr>
      <w:r>
        <w:rPr>
          <w:rFonts w:ascii="宋体" w:hAnsi="宋体" w:cs="仿宋"/>
          <w:sz w:val="32"/>
          <w:szCs w:val="32"/>
        </w:rPr>
        <w:t>20</w:t>
      </w:r>
      <w:r>
        <w:rPr>
          <w:rFonts w:hint="eastAsia" w:ascii="宋体" w:hAnsi="宋体" w:cs="仿宋"/>
          <w:sz w:val="32"/>
          <w:szCs w:val="32"/>
        </w:rPr>
        <w:t>20年总支出合计2938.92万元，全部为一般公共预算财政拨款支出。其中：人员经费649.59万元，占基本支出的</w:t>
      </w:r>
      <w:r>
        <w:rPr>
          <w:rFonts w:hint="eastAsia" w:ascii="宋体" w:hAnsi="宋体" w:cs="仿宋"/>
          <w:sz w:val="32"/>
          <w:szCs w:val="32"/>
          <w:lang w:val="en-US" w:eastAsia="zh-CN"/>
        </w:rPr>
        <w:t>79.43</w:t>
      </w:r>
      <w:r>
        <w:rPr>
          <w:rFonts w:ascii="宋体" w:hAnsi="宋体" w:cs="仿宋"/>
          <w:sz w:val="32"/>
          <w:szCs w:val="32"/>
        </w:rPr>
        <w:t>%,</w:t>
      </w:r>
      <w:r>
        <w:rPr>
          <w:rFonts w:hint="eastAsia" w:ascii="宋体" w:hAnsi="宋体" w:cs="仿宋"/>
          <w:sz w:val="32"/>
          <w:szCs w:val="32"/>
        </w:rPr>
        <w:t>主要包括基本工资、津贴补贴、奖金、五险二金、住房公积金其他工作福利支出、救济费、其他对个人和家庭的补助；公用经费168.18万元，占基本支出的</w:t>
      </w:r>
      <w:r>
        <w:rPr>
          <w:rFonts w:hint="eastAsia" w:ascii="宋体" w:hAnsi="宋体" w:cs="仿宋"/>
          <w:sz w:val="32"/>
          <w:szCs w:val="32"/>
          <w:lang w:val="en-US" w:eastAsia="zh-CN"/>
        </w:rPr>
        <w:t>20.57</w:t>
      </w:r>
      <w:r>
        <w:rPr>
          <w:rFonts w:ascii="宋体" w:hAnsi="宋体" w:cs="仿宋"/>
          <w:sz w:val="32"/>
          <w:szCs w:val="32"/>
        </w:rPr>
        <w:t>%</w:t>
      </w:r>
      <w:r>
        <w:rPr>
          <w:rFonts w:hint="eastAsia" w:ascii="宋体" w:hAnsi="宋体" w:cs="仿宋"/>
          <w:sz w:val="32"/>
          <w:szCs w:val="32"/>
        </w:rPr>
        <w:t>，主要包括办公费、印刷费、咨询费、手续费、电费、邮电费、差旅费、培训费、公务接待费、工会经费、公务用车运行维护费、其他商品和服务支出等。</w:t>
      </w:r>
    </w:p>
    <w:p>
      <w:pPr>
        <w:pStyle w:val="9"/>
        <w:ind w:firstLine="640" w:firstLineChars="200"/>
        <w:rPr>
          <w:rFonts w:ascii="宋体" w:hAnsi="宋体" w:eastAsia="宋体" w:cs="仿宋"/>
          <w:sz w:val="32"/>
          <w:szCs w:val="32"/>
        </w:rPr>
      </w:pPr>
      <w:r>
        <w:rPr>
          <w:rFonts w:ascii="宋体" w:hAnsi="宋体" w:eastAsia="宋体" w:cs="仿宋"/>
          <w:sz w:val="32"/>
          <w:szCs w:val="32"/>
        </w:rPr>
        <w:t>20</w:t>
      </w:r>
      <w:r>
        <w:rPr>
          <w:rFonts w:hint="eastAsia" w:ascii="宋体" w:hAnsi="宋体" w:eastAsia="宋体" w:cs="仿宋"/>
          <w:sz w:val="32"/>
          <w:szCs w:val="32"/>
        </w:rPr>
        <w:t>20年总支出合计</w:t>
      </w:r>
      <w:r>
        <w:rPr>
          <w:rFonts w:hint="eastAsia" w:ascii="宋体" w:hAnsi="宋体" w:cs="仿宋"/>
          <w:sz w:val="32"/>
          <w:szCs w:val="32"/>
        </w:rPr>
        <w:t>2938.92</w:t>
      </w:r>
      <w:r>
        <w:rPr>
          <w:rFonts w:hint="eastAsia" w:ascii="宋体" w:hAnsi="宋体" w:eastAsia="宋体" w:cs="仿宋"/>
          <w:sz w:val="32"/>
          <w:szCs w:val="32"/>
        </w:rPr>
        <w:t>万元按支出功能分类主要用于以下方面</w:t>
      </w:r>
      <w:r>
        <w:rPr>
          <w:rFonts w:ascii="宋体" w:hAnsi="宋体" w:eastAsia="宋体" w:cs="仿宋"/>
          <w:sz w:val="32"/>
          <w:szCs w:val="32"/>
        </w:rPr>
        <w:t>:</w:t>
      </w:r>
      <w:r>
        <w:rPr>
          <w:rFonts w:hint="eastAsia" w:ascii="宋体" w:hAnsi="宋体" w:eastAsia="宋体" w:cs="仿宋"/>
          <w:sz w:val="32"/>
          <w:szCs w:val="32"/>
        </w:rPr>
        <w:t>社会保障和就业支出96.30万元，占</w:t>
      </w:r>
      <w:r>
        <w:rPr>
          <w:rFonts w:hint="eastAsia" w:ascii="宋体" w:hAnsi="宋体" w:eastAsia="宋体" w:cs="仿宋"/>
          <w:sz w:val="32"/>
          <w:szCs w:val="32"/>
          <w:lang w:val="en-US" w:eastAsia="zh-CN"/>
        </w:rPr>
        <w:t>3.28</w:t>
      </w:r>
      <w:r>
        <w:rPr>
          <w:rFonts w:ascii="宋体" w:hAnsi="宋体" w:eastAsia="宋体" w:cs="仿宋"/>
          <w:sz w:val="32"/>
          <w:szCs w:val="32"/>
        </w:rPr>
        <w:t>%</w:t>
      </w:r>
      <w:r>
        <w:rPr>
          <w:rFonts w:hint="eastAsia" w:ascii="宋体" w:hAnsi="宋体" w:eastAsia="宋体" w:cs="仿宋"/>
          <w:sz w:val="32"/>
          <w:szCs w:val="32"/>
        </w:rPr>
        <w:t>；住房保障支出30.73万元，占</w:t>
      </w:r>
      <w:r>
        <w:rPr>
          <w:rFonts w:hint="eastAsia" w:ascii="宋体" w:hAnsi="宋体" w:eastAsia="宋体" w:cs="仿宋"/>
          <w:sz w:val="32"/>
          <w:szCs w:val="32"/>
          <w:lang w:val="en-US" w:eastAsia="zh-CN"/>
        </w:rPr>
        <w:t>1.05</w:t>
      </w:r>
      <w:r>
        <w:rPr>
          <w:rFonts w:ascii="宋体" w:hAnsi="宋体" w:eastAsia="宋体" w:cs="仿宋"/>
          <w:sz w:val="32"/>
          <w:szCs w:val="32"/>
        </w:rPr>
        <w:t>%;</w:t>
      </w:r>
      <w:r>
        <w:rPr>
          <w:rFonts w:hint="eastAsia" w:ascii="宋体" w:hAnsi="宋体" w:eastAsia="宋体" w:cs="仿宋"/>
          <w:sz w:val="32"/>
          <w:szCs w:val="32"/>
        </w:rPr>
        <w:t>商业服务业等支出162.05，占</w:t>
      </w:r>
      <w:r>
        <w:rPr>
          <w:rFonts w:hint="eastAsia" w:ascii="宋体" w:hAnsi="宋体" w:eastAsia="宋体" w:cs="仿宋"/>
          <w:sz w:val="32"/>
          <w:szCs w:val="32"/>
          <w:lang w:val="en-US" w:eastAsia="zh-CN"/>
        </w:rPr>
        <w:t>5.51</w:t>
      </w:r>
      <w:r>
        <w:rPr>
          <w:rFonts w:ascii="宋体" w:hAnsi="宋体" w:eastAsia="宋体" w:cs="仿宋"/>
          <w:sz w:val="32"/>
          <w:szCs w:val="32"/>
        </w:rPr>
        <w:t>%</w:t>
      </w:r>
      <w:r>
        <w:rPr>
          <w:rFonts w:hint="eastAsia" w:ascii="宋体" w:hAnsi="宋体" w:eastAsia="宋体" w:cs="仿宋"/>
          <w:sz w:val="32"/>
          <w:szCs w:val="32"/>
        </w:rPr>
        <w:t>。</w:t>
      </w:r>
    </w:p>
    <w:p>
      <w:pPr>
        <w:pStyle w:val="9"/>
        <w:ind w:firstLine="640" w:firstLineChars="200"/>
        <w:rPr>
          <w:rFonts w:ascii="宋体" w:hAnsi="宋体" w:eastAsia="宋体" w:cs="仿宋"/>
          <w:sz w:val="32"/>
          <w:szCs w:val="32"/>
        </w:rPr>
      </w:pPr>
      <w:r>
        <w:rPr>
          <w:rFonts w:ascii="宋体" w:hAnsi="宋体" w:eastAsia="宋体" w:cs="仿宋"/>
          <w:sz w:val="32"/>
          <w:szCs w:val="32"/>
        </w:rPr>
        <w:t>20</w:t>
      </w:r>
      <w:r>
        <w:rPr>
          <w:rFonts w:hint="eastAsia" w:ascii="宋体" w:hAnsi="宋体" w:eastAsia="宋体" w:cs="仿宋"/>
          <w:sz w:val="32"/>
          <w:szCs w:val="32"/>
        </w:rPr>
        <w:t>20年度“三公”经费支出决算数为</w:t>
      </w:r>
      <w:r>
        <w:rPr>
          <w:rFonts w:ascii="宋体" w:hAnsi="宋体" w:eastAsia="宋体" w:cs="仿宋"/>
          <w:sz w:val="32"/>
          <w:szCs w:val="32"/>
        </w:rPr>
        <w:t>13.60</w:t>
      </w:r>
      <w:r>
        <w:rPr>
          <w:rFonts w:hint="eastAsia" w:ascii="宋体" w:hAnsi="宋体" w:eastAsia="宋体" w:cs="仿宋"/>
          <w:sz w:val="32"/>
          <w:szCs w:val="32"/>
        </w:rPr>
        <w:t>万元。其中：①公务接待费支出决算数</w:t>
      </w:r>
      <w:r>
        <w:rPr>
          <w:rFonts w:ascii="宋体" w:hAnsi="宋体" w:eastAsia="宋体" w:cs="仿宋"/>
          <w:sz w:val="32"/>
          <w:szCs w:val="32"/>
        </w:rPr>
        <w:t>9.98</w:t>
      </w:r>
      <w:r>
        <w:rPr>
          <w:rFonts w:hint="eastAsia" w:ascii="宋体" w:hAnsi="宋体" w:eastAsia="宋体" w:cs="仿宋"/>
          <w:sz w:val="32"/>
          <w:szCs w:val="32"/>
        </w:rPr>
        <w:t>万元，占</w:t>
      </w:r>
      <w:r>
        <w:rPr>
          <w:rFonts w:hint="eastAsia" w:ascii="宋体" w:hAnsi="宋体" w:eastAsia="宋体" w:cs="仿宋"/>
          <w:sz w:val="32"/>
          <w:szCs w:val="32"/>
          <w:lang w:val="en-US" w:eastAsia="zh-CN"/>
        </w:rPr>
        <w:t>73.38</w:t>
      </w:r>
      <w:r>
        <w:rPr>
          <w:rFonts w:ascii="宋体" w:hAnsi="宋体" w:eastAsia="宋体" w:cs="仿宋"/>
          <w:sz w:val="32"/>
          <w:szCs w:val="32"/>
        </w:rPr>
        <w:t>%</w:t>
      </w:r>
      <w:r>
        <w:rPr>
          <w:rFonts w:hint="eastAsia" w:ascii="宋体" w:hAnsi="宋体" w:eastAsia="宋体" w:cs="仿宋"/>
          <w:sz w:val="32"/>
          <w:szCs w:val="32"/>
          <w:lang w:eastAsia="zh-CN"/>
        </w:rPr>
        <w:t>，</w:t>
      </w:r>
      <w:r>
        <w:rPr>
          <w:rFonts w:hint="eastAsia" w:ascii="宋体" w:hAnsi="宋体" w:eastAsia="宋体" w:cs="仿宋"/>
          <w:sz w:val="32"/>
          <w:szCs w:val="32"/>
        </w:rPr>
        <w:t>因公出国（境）费支出决算</w:t>
      </w:r>
      <w:r>
        <w:rPr>
          <w:rFonts w:ascii="宋体" w:hAnsi="宋体" w:eastAsia="宋体" w:cs="仿宋"/>
          <w:sz w:val="32"/>
          <w:szCs w:val="32"/>
        </w:rPr>
        <w:t>0</w:t>
      </w:r>
      <w:r>
        <w:rPr>
          <w:rFonts w:hint="eastAsia" w:ascii="宋体" w:hAnsi="宋体" w:eastAsia="宋体" w:cs="仿宋"/>
          <w:sz w:val="32"/>
          <w:szCs w:val="32"/>
        </w:rPr>
        <w:t>万元，全年安排因公出国（境）团组</w:t>
      </w:r>
      <w:r>
        <w:rPr>
          <w:rFonts w:ascii="宋体" w:hAnsi="宋体" w:eastAsia="宋体" w:cs="仿宋"/>
          <w:sz w:val="32"/>
          <w:szCs w:val="32"/>
        </w:rPr>
        <w:t>0</w:t>
      </w:r>
      <w:r>
        <w:rPr>
          <w:rFonts w:hint="eastAsia" w:ascii="宋体" w:hAnsi="宋体" w:eastAsia="宋体" w:cs="仿宋"/>
          <w:sz w:val="32"/>
          <w:szCs w:val="32"/>
        </w:rPr>
        <w:t>个，累计</w:t>
      </w:r>
      <w:r>
        <w:rPr>
          <w:rFonts w:ascii="宋体" w:hAnsi="宋体" w:eastAsia="宋体" w:cs="仿宋"/>
          <w:sz w:val="32"/>
          <w:szCs w:val="32"/>
        </w:rPr>
        <w:t>0</w:t>
      </w:r>
      <w:r>
        <w:rPr>
          <w:rFonts w:hint="eastAsia" w:ascii="宋体" w:hAnsi="宋体" w:eastAsia="宋体" w:cs="仿宋"/>
          <w:sz w:val="32"/>
          <w:szCs w:val="32"/>
        </w:rPr>
        <w:t>人次。</w:t>
      </w:r>
    </w:p>
    <w:p>
      <w:pPr>
        <w:rPr>
          <w:rFonts w:hint="eastAsia" w:ascii="Times New Roman" w:hAnsi="Times New Roman" w:eastAsia="黑体"/>
          <w:sz w:val="32"/>
          <w:szCs w:val="32"/>
        </w:rPr>
      </w:pPr>
      <w:r>
        <w:rPr>
          <w:rFonts w:hint="eastAsia" w:ascii="宋体" w:hAnsi="宋体" w:cs="仿宋"/>
          <w:sz w:val="32"/>
          <w:szCs w:val="32"/>
        </w:rPr>
        <w:t>②公务用车购置费及运行维护费支出决算数</w:t>
      </w:r>
      <w:r>
        <w:rPr>
          <w:rFonts w:hint="eastAsia" w:ascii="宋体" w:hAnsi="宋体" w:eastAsia="宋体" w:cs="仿宋"/>
          <w:color w:val="000000"/>
          <w:kern w:val="0"/>
          <w:sz w:val="32"/>
          <w:szCs w:val="32"/>
          <w:lang w:val="en-US" w:eastAsia="zh-CN" w:bidi="ar-SA"/>
        </w:rPr>
        <w:t>3.62</w:t>
      </w:r>
      <w:r>
        <w:rPr>
          <w:rFonts w:hint="eastAsia" w:ascii="宋体" w:hAnsi="宋体" w:cs="仿宋"/>
          <w:sz w:val="32"/>
          <w:szCs w:val="32"/>
        </w:rPr>
        <w:t>万元，</w:t>
      </w:r>
      <w:r>
        <w:rPr>
          <w:rFonts w:hint="eastAsia" w:ascii="宋体" w:hAnsi="宋体" w:eastAsia="宋体" w:cs="仿宋"/>
          <w:sz w:val="32"/>
          <w:szCs w:val="32"/>
        </w:rPr>
        <w:t>占</w:t>
      </w:r>
      <w:r>
        <w:rPr>
          <w:rFonts w:hint="eastAsia" w:ascii="宋体" w:hAnsi="宋体" w:cs="仿宋"/>
          <w:sz w:val="32"/>
          <w:szCs w:val="32"/>
          <w:lang w:val="en-US" w:eastAsia="zh-CN"/>
        </w:rPr>
        <w:t>26.62</w:t>
      </w:r>
      <w:r>
        <w:rPr>
          <w:rFonts w:ascii="宋体" w:hAnsi="宋体" w:eastAsia="宋体" w:cs="仿宋"/>
          <w:sz w:val="32"/>
          <w:szCs w:val="32"/>
        </w:rPr>
        <w:t>%</w:t>
      </w:r>
      <w:r>
        <w:rPr>
          <w:rFonts w:hint="eastAsia" w:ascii="宋体" w:hAnsi="宋体" w:cs="仿宋"/>
          <w:sz w:val="32"/>
          <w:szCs w:val="32"/>
        </w:rPr>
        <w:t>。</w:t>
      </w:r>
    </w:p>
    <w:p>
      <w:pPr>
        <w:pStyle w:val="8"/>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（二）项目支出情况</w:t>
      </w:r>
    </w:p>
    <w:p>
      <w:pPr>
        <w:numPr>
          <w:ilvl w:val="0"/>
          <w:numId w:val="0"/>
        </w:num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年度项目支出</w:t>
      </w:r>
      <w:r>
        <w:rPr>
          <w:rFonts w:hint="eastAsia" w:ascii="宋体" w:hAnsi="宋体" w:cs="仿宋"/>
          <w:sz w:val="32"/>
          <w:szCs w:val="32"/>
        </w:rPr>
        <w:t>715.78</w:t>
      </w:r>
      <w:r>
        <w:rPr>
          <w:rFonts w:hint="eastAsia" w:asciiTheme="minorEastAsia" w:hAnsiTheme="minorEastAsia" w:cstheme="minorEastAsia"/>
          <w:sz w:val="32"/>
          <w:szCs w:val="32"/>
          <w:lang w:val="en-US" w:eastAsia="zh-CN"/>
        </w:rPr>
        <w:t>万元，</w:t>
      </w:r>
      <w:r>
        <w:rPr>
          <w:rFonts w:hint="eastAsia" w:asciiTheme="minorEastAsia" w:hAnsiTheme="minorEastAsia" w:cstheme="minorEastAsia"/>
          <w:sz w:val="32"/>
          <w:szCs w:val="32"/>
          <w:lang w:eastAsia="zh-CN"/>
        </w:rPr>
        <w:t>其中一般公共服务支出</w:t>
      </w:r>
      <w:r>
        <w:rPr>
          <w:rFonts w:hint="eastAsia" w:ascii="宋体" w:hAnsi="宋体" w:cs="仿宋"/>
          <w:sz w:val="32"/>
          <w:szCs w:val="32"/>
        </w:rPr>
        <w:t>147.38</w:t>
      </w:r>
      <w:r>
        <w:rPr>
          <w:rFonts w:hint="eastAsia" w:asciiTheme="minorEastAsia" w:hAnsiTheme="minorEastAsia" w:cstheme="minorEastAsia"/>
          <w:sz w:val="32"/>
          <w:szCs w:val="32"/>
          <w:lang w:val="en-US" w:eastAsia="zh-CN"/>
        </w:rPr>
        <w:t>万元，</w:t>
      </w:r>
      <w:r>
        <w:rPr>
          <w:rFonts w:hint="eastAsia" w:asciiTheme="minorEastAsia" w:hAnsiTheme="minorEastAsia" w:cstheme="minorEastAsia"/>
          <w:sz w:val="32"/>
          <w:szCs w:val="32"/>
          <w:lang w:eastAsia="zh-CN"/>
        </w:rPr>
        <w:t>一般行政管理事</w:t>
      </w:r>
      <w:r>
        <w:rPr>
          <w:rFonts w:hint="eastAsia" w:ascii="宋体" w:hAnsi="宋体" w:cs="仿宋"/>
          <w:sz w:val="32"/>
          <w:szCs w:val="32"/>
          <w:lang w:eastAsia="zh-CN"/>
        </w:rPr>
        <w:t>务</w:t>
      </w:r>
      <w:r>
        <w:rPr>
          <w:rFonts w:hint="eastAsia" w:ascii="宋体" w:hAnsi="宋体" w:cs="仿宋"/>
          <w:sz w:val="32"/>
          <w:szCs w:val="32"/>
        </w:rPr>
        <w:t>89.68</w:t>
      </w:r>
      <w:r>
        <w:rPr>
          <w:rFonts w:hint="eastAsia" w:ascii="宋体" w:hAnsi="宋体" w:cs="仿宋"/>
          <w:sz w:val="32"/>
          <w:szCs w:val="32"/>
          <w:lang w:val="en-US" w:eastAsia="zh-CN"/>
        </w:rPr>
        <w:t>万</w:t>
      </w:r>
      <w:r>
        <w:rPr>
          <w:rFonts w:hint="eastAsia" w:asciiTheme="minorEastAsia" w:hAnsiTheme="minorEastAsia" w:cstheme="minorEastAsia"/>
          <w:sz w:val="32"/>
          <w:szCs w:val="32"/>
          <w:lang w:val="en-US" w:eastAsia="zh-CN"/>
        </w:rPr>
        <w:t>元，其他商贸事务支出</w:t>
      </w:r>
      <w:r>
        <w:rPr>
          <w:rFonts w:hint="eastAsia" w:asciiTheme="minorEastAsia" w:hAnsiTheme="minorEastAsia" w:cstheme="minorEastAsia"/>
          <w:sz w:val="32"/>
          <w:szCs w:val="32"/>
          <w:lang w:eastAsia="zh-CN"/>
        </w:rPr>
        <w:t>28.37</w:t>
      </w:r>
      <w:r>
        <w:rPr>
          <w:rFonts w:hint="eastAsia" w:asciiTheme="minorEastAsia" w:hAnsiTheme="minorEastAsia" w:cstheme="minorEastAsia"/>
          <w:sz w:val="32"/>
          <w:szCs w:val="32"/>
          <w:lang w:val="en-US" w:eastAsia="zh-CN"/>
        </w:rPr>
        <w:t>万元</w:t>
      </w:r>
      <w:r>
        <w:rPr>
          <w:rFonts w:hint="eastAsia" w:asciiTheme="minorEastAsia" w:hAnsiTheme="minorEastAsia" w:cstheme="minorEastAsia"/>
          <w:sz w:val="32"/>
          <w:szCs w:val="32"/>
          <w:lang w:eastAsia="zh-CN"/>
        </w:rPr>
        <w:t>。</w:t>
      </w:r>
    </w:p>
    <w:p>
      <w:pPr>
        <w:pStyle w:val="8"/>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政府性基金预算支出情况</w:t>
      </w:r>
    </w:p>
    <w:p>
      <w:pPr>
        <w:numPr>
          <w:ilvl w:val="0"/>
          <w:numId w:val="0"/>
        </w:numPr>
        <w:ind w:leftChars="196" w:firstLine="320" w:firstLineChars="100"/>
        <w:rPr>
          <w:rFonts w:hint="eastAsia" w:ascii="Times New Roman" w:hAnsi="Times New Roman" w:eastAsia="黑体"/>
          <w:sz w:val="32"/>
          <w:szCs w:val="32"/>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年度无政府性基金预算支出。</w:t>
      </w:r>
    </w:p>
    <w:p>
      <w:pPr>
        <w:pStyle w:val="8"/>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国有资本经营预算支出情况</w:t>
      </w:r>
    </w:p>
    <w:p>
      <w:pPr>
        <w:numPr>
          <w:ilvl w:val="0"/>
          <w:numId w:val="0"/>
        </w:numPr>
        <w:ind w:leftChars="196" w:firstLine="320" w:firstLineChars="100"/>
        <w:rPr>
          <w:rFonts w:hint="eastAsia" w:ascii="Times New Roman" w:hAnsi="Times New Roman" w:eastAsia="黑体"/>
          <w:sz w:val="32"/>
          <w:szCs w:val="32"/>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年度无国有资本经营预算支出。</w:t>
      </w:r>
    </w:p>
    <w:p>
      <w:pPr>
        <w:pStyle w:val="8"/>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社会保险基金预算支出情况</w:t>
      </w:r>
    </w:p>
    <w:p>
      <w:pPr>
        <w:pStyle w:val="8"/>
        <w:widowControl/>
        <w:numPr>
          <w:ilvl w:val="0"/>
          <w:numId w:val="0"/>
        </w:numPr>
        <w:spacing w:line="600" w:lineRule="exact"/>
        <w:ind w:left="640" w:leftChars="0"/>
        <w:jc w:val="left"/>
        <w:rPr>
          <w:rFonts w:hint="eastAsia" w:ascii="Times New Roman" w:hAnsi="Times New Roman" w:eastAsia="黑体"/>
          <w:sz w:val="32"/>
          <w:szCs w:val="32"/>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lang w:val="en-US" w:eastAsia="zh-CN"/>
        </w:rPr>
        <w:t>年度无社会保险基金预算支出。</w:t>
      </w:r>
    </w:p>
    <w:p>
      <w:pPr>
        <w:widowControl/>
        <w:spacing w:line="600" w:lineRule="exact"/>
        <w:ind w:firstLine="645"/>
        <w:jc w:val="left"/>
        <w:rPr>
          <w:rFonts w:eastAsia="黑体"/>
          <w:sz w:val="32"/>
          <w:szCs w:val="32"/>
        </w:rPr>
      </w:pPr>
      <w:r>
        <w:rPr>
          <w:rFonts w:hint="eastAsia" w:eastAsia="黑体"/>
          <w:sz w:val="32"/>
          <w:szCs w:val="32"/>
        </w:rPr>
        <w:t>六、部门整体支出绩效情况</w:t>
      </w:r>
    </w:p>
    <w:p>
      <w:pPr>
        <w:spacing w:line="600" w:lineRule="exact"/>
        <w:ind w:firstLine="640" w:firstLineChars="200"/>
        <w:rPr>
          <w:rFonts w:ascii="宋体" w:cs="仿宋"/>
          <w:sz w:val="32"/>
          <w:szCs w:val="32"/>
        </w:rPr>
      </w:pPr>
      <w:r>
        <w:rPr>
          <w:rFonts w:hint="eastAsia" w:ascii="宋体" w:hAnsi="宋体" w:cs="仿宋"/>
          <w:sz w:val="32"/>
          <w:szCs w:val="32"/>
        </w:rPr>
        <w:t>一年来，</w:t>
      </w:r>
      <w:r>
        <w:rPr>
          <w:rFonts w:hint="eastAsia" w:ascii="宋体" w:hAnsi="宋体" w:cs="仿宋"/>
          <w:sz w:val="32"/>
          <w:szCs w:val="32"/>
          <w:lang w:eastAsia="zh-CN"/>
        </w:rPr>
        <w:t>我</w:t>
      </w:r>
      <w:r>
        <w:rPr>
          <w:rFonts w:hint="eastAsia" w:ascii="宋体" w:hAnsi="宋体" w:cs="仿宋"/>
          <w:sz w:val="32"/>
          <w:szCs w:val="32"/>
        </w:rPr>
        <w:t>商务局</w:t>
      </w:r>
      <w:r>
        <w:rPr>
          <w:rFonts w:hint="eastAsia" w:ascii="宋体" w:hAnsi="宋体" w:cs="仿宋"/>
          <w:sz w:val="32"/>
          <w:szCs w:val="32"/>
          <w:lang w:eastAsia="zh-CN"/>
        </w:rPr>
        <w:t>在县委县政府的</w:t>
      </w:r>
      <w:r>
        <w:rPr>
          <w:rFonts w:hint="eastAsia" w:ascii="宋体" w:hAnsi="宋体" w:cs="仿宋"/>
          <w:sz w:val="32"/>
          <w:szCs w:val="32"/>
        </w:rPr>
        <w:t>正确领导下，细化工作责任，狠抓工作落实，</w:t>
      </w:r>
      <w:r>
        <w:rPr>
          <w:rFonts w:hint="eastAsia" w:ascii="宋体" w:hAnsi="宋体" w:cs="仿宋"/>
          <w:sz w:val="32"/>
          <w:szCs w:val="32"/>
          <w:lang w:eastAsia="zh-CN"/>
        </w:rPr>
        <w:t>商务工作</w:t>
      </w:r>
      <w:r>
        <w:rPr>
          <w:rFonts w:hint="eastAsia" w:ascii="宋体" w:hAnsi="宋体" w:cs="仿宋"/>
          <w:sz w:val="32"/>
          <w:szCs w:val="32"/>
        </w:rPr>
        <w:t>得到进一步的夯实，各项工作取得了较好的成绩。</w:t>
      </w:r>
      <w:r>
        <w:rPr>
          <w:rFonts w:ascii="宋体" w:hAnsi="宋体" w:cs="仿宋"/>
          <w:sz w:val="32"/>
          <w:szCs w:val="32"/>
        </w:rPr>
        <w:t xml:space="preserve">        </w:t>
      </w:r>
    </w:p>
    <w:p>
      <w:pPr>
        <w:spacing w:line="600" w:lineRule="exact"/>
        <w:ind w:firstLine="640" w:firstLineChars="200"/>
        <w:rPr>
          <w:rFonts w:ascii="宋体" w:cs="仿宋"/>
          <w:sz w:val="32"/>
          <w:szCs w:val="32"/>
        </w:rPr>
      </w:pPr>
      <w:r>
        <w:rPr>
          <w:rFonts w:hint="eastAsia" w:ascii="宋体" w:hAnsi="宋体" w:cs="仿宋"/>
          <w:kern w:val="0"/>
          <w:sz w:val="32"/>
          <w:szCs w:val="32"/>
        </w:rPr>
        <w:t>通过以上工作的落实，</w:t>
      </w:r>
      <w:r>
        <w:rPr>
          <w:rFonts w:ascii="宋体" w:hAnsi="宋体" w:cs="仿宋"/>
          <w:sz w:val="32"/>
          <w:szCs w:val="32"/>
        </w:rPr>
        <w:t>2019</w:t>
      </w:r>
      <w:r>
        <w:rPr>
          <w:rFonts w:hint="eastAsia" w:ascii="宋体" w:hAnsi="宋体" w:cs="仿宋"/>
          <w:sz w:val="32"/>
          <w:szCs w:val="32"/>
        </w:rPr>
        <w:t>年，全县</w:t>
      </w:r>
      <w:r>
        <w:rPr>
          <w:rFonts w:hint="eastAsia" w:ascii="宋体" w:hAnsi="宋体" w:cs="仿宋"/>
          <w:sz w:val="32"/>
          <w:szCs w:val="32"/>
          <w:lang w:eastAsia="zh-CN"/>
        </w:rPr>
        <w:t>商务</w:t>
      </w:r>
      <w:r>
        <w:rPr>
          <w:rFonts w:hint="eastAsia" w:ascii="宋体" w:hAnsi="宋体" w:cs="仿宋"/>
          <w:sz w:val="32"/>
          <w:szCs w:val="32"/>
        </w:rPr>
        <w:t>系统稳定，</w:t>
      </w:r>
      <w:r>
        <w:rPr>
          <w:rFonts w:hint="eastAsia" w:ascii="宋体" w:hAnsi="宋体" w:cs="仿宋"/>
          <w:sz w:val="32"/>
          <w:szCs w:val="32"/>
          <w:lang w:eastAsia="zh-CN"/>
        </w:rPr>
        <w:t>招商工作</w:t>
      </w:r>
      <w:r>
        <w:rPr>
          <w:rFonts w:hint="eastAsia" w:ascii="宋体" w:hAnsi="宋体" w:cs="仿宋"/>
          <w:sz w:val="32"/>
          <w:szCs w:val="32"/>
        </w:rPr>
        <w:t>、</w:t>
      </w:r>
      <w:r>
        <w:rPr>
          <w:rFonts w:hint="eastAsia" w:ascii="宋体" w:hAnsi="宋体" w:cs="仿宋"/>
          <w:sz w:val="32"/>
          <w:szCs w:val="32"/>
          <w:lang w:eastAsia="zh-CN"/>
        </w:rPr>
        <w:t>电商工作、</w:t>
      </w:r>
      <w:r>
        <w:rPr>
          <w:rFonts w:hint="eastAsia" w:ascii="宋体" w:hAnsi="宋体" w:cs="仿宋"/>
          <w:sz w:val="32"/>
          <w:szCs w:val="32"/>
        </w:rPr>
        <w:t>扶贫工作、</w:t>
      </w:r>
      <w:r>
        <w:rPr>
          <w:rFonts w:hint="eastAsia" w:ascii="宋体" w:hAnsi="宋体" w:cs="仿宋"/>
          <w:sz w:val="32"/>
          <w:szCs w:val="32"/>
          <w:lang w:eastAsia="zh-CN"/>
        </w:rPr>
        <w:t>安全生产</w:t>
      </w:r>
      <w:r>
        <w:rPr>
          <w:rFonts w:hint="eastAsia" w:ascii="宋体" w:hAnsi="宋体" w:cs="仿宋"/>
          <w:sz w:val="32"/>
          <w:szCs w:val="32"/>
        </w:rPr>
        <w:t>工作顺利进行，社会公众满意度较高。</w:t>
      </w:r>
    </w:p>
    <w:p>
      <w:pPr>
        <w:pStyle w:val="8"/>
        <w:widowControl/>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ind w:firstLine="640" w:firstLineChars="200"/>
        <w:rPr>
          <w:rFonts w:hint="eastAsia" w:ascii="宋体" w:hAnsi="宋体" w:cs="仿宋"/>
          <w:sz w:val="32"/>
          <w:szCs w:val="32"/>
        </w:rPr>
      </w:pPr>
      <w:r>
        <w:rPr>
          <w:rFonts w:hint="eastAsia" w:ascii="宋体" w:hAnsi="宋体" w:cs="仿宋"/>
          <w:sz w:val="32"/>
          <w:szCs w:val="32"/>
          <w:lang w:val="en-US" w:eastAsia="zh-CN"/>
        </w:rPr>
        <w:t>1、</w:t>
      </w:r>
      <w:r>
        <w:rPr>
          <w:rFonts w:hint="eastAsia" w:ascii="宋体" w:hAnsi="宋体" w:cs="仿宋"/>
          <w:sz w:val="32"/>
          <w:szCs w:val="32"/>
        </w:rPr>
        <w:t>绩效目标设立不够明确、细化和量化。</w:t>
      </w:r>
    </w:p>
    <w:p>
      <w:pPr>
        <w:ind w:firstLine="640" w:firstLineChars="200"/>
        <w:rPr>
          <w:rFonts w:ascii="宋体" w:cs="仿宋"/>
          <w:sz w:val="32"/>
          <w:szCs w:val="32"/>
        </w:rPr>
      </w:pPr>
      <w:r>
        <w:rPr>
          <w:rFonts w:hint="eastAsia" w:ascii="宋体" w:hAnsi="宋体" w:cs="仿宋"/>
          <w:sz w:val="32"/>
          <w:szCs w:val="32"/>
          <w:lang w:val="en-US" w:eastAsia="zh-CN"/>
        </w:rPr>
        <w:t>2、</w:t>
      </w:r>
      <w:r>
        <w:rPr>
          <w:rFonts w:hint="eastAsia" w:ascii="宋体" w:hAnsi="宋体" w:cs="仿宋"/>
          <w:sz w:val="32"/>
          <w:szCs w:val="32"/>
        </w:rPr>
        <w:t>资金使用效益有待进一步提高。</w:t>
      </w:r>
    </w:p>
    <w:p>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pPr>
        <w:ind w:firstLine="640" w:firstLineChars="200"/>
        <w:rPr>
          <w:rFonts w:ascii="宋体" w:cs="仿宋"/>
          <w:sz w:val="32"/>
          <w:szCs w:val="32"/>
        </w:rPr>
      </w:pPr>
      <w:r>
        <w:rPr>
          <w:rFonts w:hint="eastAsia" w:ascii="宋体" w:hAnsi="宋体" w:cs="仿宋"/>
          <w:sz w:val="32"/>
          <w:szCs w:val="32"/>
          <w:lang w:val="en-US" w:eastAsia="zh-CN"/>
        </w:rPr>
        <w:t>1、</w:t>
      </w:r>
      <w:r>
        <w:rPr>
          <w:rFonts w:hint="eastAsia" w:ascii="宋体" w:hAnsi="宋体" w:cs="仿宋"/>
          <w:sz w:val="32"/>
          <w:szCs w:val="32"/>
        </w:rPr>
        <w:t>加强单位预算编制工作，根据人员情况、业务开展需要，逐项做出预算计划，预算合理、不留缺口、不留空项。</w:t>
      </w:r>
    </w:p>
    <w:p>
      <w:pPr>
        <w:ind w:firstLine="640" w:firstLineChars="200"/>
        <w:rPr>
          <w:rFonts w:ascii="宋体" w:cs="仿宋"/>
          <w:sz w:val="32"/>
          <w:szCs w:val="32"/>
        </w:rPr>
      </w:pPr>
      <w:r>
        <w:rPr>
          <w:rFonts w:hint="eastAsia" w:ascii="宋体" w:hAnsi="宋体" w:cs="仿宋"/>
          <w:sz w:val="32"/>
          <w:szCs w:val="32"/>
          <w:lang w:val="en-US" w:eastAsia="zh-CN"/>
        </w:rPr>
        <w:t>2、</w:t>
      </w:r>
      <w:r>
        <w:rPr>
          <w:rFonts w:hint="eastAsia" w:ascii="宋体" w:hAnsi="宋体" w:cs="仿宋"/>
          <w:sz w:val="32"/>
          <w:szCs w:val="32"/>
        </w:rPr>
        <w:t>加强业务培训，提高评价水平。部门整体绩效评价工作是一项长期性的工作，专业性强，工作量大，建议上级部门进多开展部门领导及经办人员相关的政策、业务工作培训，组织开展部门之间、单位之间的经验交流，切实推进绩效评价工作的开展。</w:t>
      </w:r>
    </w:p>
    <w:p>
      <w:pPr>
        <w:ind w:firstLine="640" w:firstLineChars="200"/>
        <w:rPr>
          <w:rFonts w:hint="eastAsia" w:eastAsia="黑体"/>
          <w:sz w:val="32"/>
          <w:szCs w:val="32"/>
        </w:rPr>
      </w:pPr>
      <w:r>
        <w:rPr>
          <w:rFonts w:hint="eastAsia" w:ascii="宋体" w:hAnsi="宋体" w:cs="仿宋"/>
          <w:sz w:val="32"/>
          <w:szCs w:val="32"/>
          <w:lang w:val="en-US" w:eastAsia="zh-CN"/>
        </w:rPr>
        <w:t>3、</w:t>
      </w:r>
      <w:r>
        <w:rPr>
          <w:rFonts w:hint="eastAsia" w:ascii="宋体" w:hAnsi="宋体" w:cs="仿宋"/>
          <w:sz w:val="32"/>
          <w:szCs w:val="32"/>
        </w:rPr>
        <w:t>预算财务分析常态化，定期做好预算支出财务分析，做好部门整体支出预算评价工作。</w:t>
      </w:r>
    </w:p>
    <w:p>
      <w:pPr>
        <w:widowControl/>
        <w:spacing w:line="600" w:lineRule="exact"/>
        <w:ind w:firstLine="645"/>
        <w:jc w:val="left"/>
        <w:rPr>
          <w:rFonts w:eastAsia="黑体"/>
          <w:sz w:val="32"/>
          <w:szCs w:val="32"/>
        </w:rPr>
      </w:pPr>
      <w:r>
        <w:rPr>
          <w:rFonts w:hint="eastAsia" w:eastAsia="黑体"/>
          <w:sz w:val="32"/>
          <w:szCs w:val="32"/>
        </w:rPr>
        <w:t>九、其他需要说明的情况</w:t>
      </w:r>
    </w:p>
    <w:p>
      <w:pPr>
        <w:widowControl/>
        <w:spacing w:line="600" w:lineRule="exact"/>
        <w:ind w:firstLine="1120" w:firstLineChars="350"/>
        <w:jc w:val="left"/>
        <w:rPr>
          <w:rFonts w:eastAsia="仿宋_GB2312"/>
          <w:sz w:val="32"/>
          <w:szCs w:val="32"/>
        </w:rPr>
      </w:pPr>
      <w:r>
        <w:rPr>
          <w:rFonts w:hint="eastAsia" w:eastAsia="仿宋_GB2312"/>
          <w:sz w:val="32"/>
          <w:szCs w:val="32"/>
        </w:rPr>
        <w:t>无</w:t>
      </w:r>
    </w:p>
    <w:p>
      <w:pPr>
        <w:widowControl/>
        <w:spacing w:line="600" w:lineRule="exact"/>
        <w:ind w:firstLine="645"/>
        <w:jc w:val="left"/>
        <w:rPr>
          <w:rFonts w:eastAsia="仿宋_GB2312"/>
          <w:sz w:val="32"/>
          <w:szCs w:val="32"/>
        </w:rPr>
      </w:pPr>
      <w:r>
        <w:rPr>
          <w:rFonts w:hint="eastAsia" w:eastAsia="仿宋_GB2312"/>
          <w:sz w:val="32"/>
          <w:szCs w:val="32"/>
        </w:rPr>
        <w:t>报告应包括以下附件：</w:t>
      </w:r>
    </w:p>
    <w:p>
      <w:pPr>
        <w:widowControl/>
        <w:spacing w:line="60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60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60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60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60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60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widowControl/>
        <w:spacing w:line="600" w:lineRule="exact"/>
        <w:ind w:firstLine="640" w:firstLineChars="200"/>
        <w:jc w:val="left"/>
        <w:rPr>
          <w:rFonts w:eastAsia="仿宋_GB2312"/>
          <w:sz w:val="32"/>
          <w:szCs w:val="32"/>
        </w:rPr>
      </w:pP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预算支出绩效评价共性指标体系框架（参考）</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2"/>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2"/>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5"/>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Align w:val="center"/>
          </w:tcPr>
          <w:p>
            <w:pPr>
              <w:ind w:left="113"/>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成本（</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成本</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节约率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成本节约率</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实际成本）</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实际成本：预算支出实施单位如期、保质、保量完成既定工作目标实际所耗费的支出。</w:t>
            </w:r>
            <w:r>
              <w:rPr>
                <w:rFonts w:ascii="仿宋_GB2312" w:eastAsia="仿宋_GB2312"/>
                <w:szCs w:val="21"/>
              </w:rPr>
              <w:br w:type="textWrapping"/>
            </w:r>
            <w:r>
              <w:rPr>
                <w:rFonts w:hint="eastAsia" w:ascii="仿宋_GB2312" w:eastAsia="仿宋_GB2312"/>
                <w:szCs w:val="21"/>
              </w:rPr>
              <w:t>计划成本：预算支出实施单位为完成工作目标计划安排的支出，一般以预算支出预算为参考。</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效</w:t>
            </w:r>
          </w:p>
          <w:p>
            <w:pPr>
              <w:jc w:val="center"/>
              <w:rPr>
                <w:rFonts w:ascii="仿宋_GB2312" w:eastAsia="仿宋_GB2312"/>
                <w:szCs w:val="21"/>
              </w:rPr>
            </w:pPr>
            <w:r>
              <w:rPr>
                <w:rFonts w:hint="eastAsia" w:ascii="仿宋_GB2312" w:eastAsia="仿宋_GB2312"/>
                <w:szCs w:val="21"/>
              </w:rPr>
              <w:t>益</w:t>
            </w:r>
          </w:p>
          <w:p>
            <w:pPr>
              <w:jc w:val="center"/>
              <w:rPr>
                <w:rFonts w:ascii="仿宋_GB2312" w:eastAsia="仿宋_GB2312"/>
                <w:szCs w:val="21"/>
              </w:rPr>
            </w:pP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实施效益（</w:t>
            </w:r>
            <w:r>
              <w:rPr>
                <w:rFonts w:ascii="仿宋_GB2312" w:eastAsia="仿宋_GB2312"/>
                <w:szCs w:val="21"/>
              </w:rPr>
              <w:t>20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分，少于</w:t>
            </w:r>
            <w:r>
              <w:rPr>
                <w:rFonts w:ascii="仿宋_GB2312" w:eastAsia="仿宋_GB2312"/>
                <w:szCs w:val="21"/>
              </w:rPr>
              <w:t>60%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预算支出实施所产生的社会效益、经济效益、生态效益、可持续影响等。可根据预算支出实际情况有选择地设置和细化。</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社会公众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或服务对</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计满分，每下降五个百分点扣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社会公众或服务对象是指因该预算支出实施而受到影响的部门、群体或个人。一般采取社会调查的方式。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ind w:firstLine="420" w:firstLineChars="200"/>
        <w:jc w:val="left"/>
        <w:rPr>
          <w:rFonts w:eastAsia="黑体"/>
          <w:sz w:val="32"/>
          <w:szCs w:val="32"/>
        </w:rPr>
      </w:pPr>
      <w:r>
        <w:br w:type="page"/>
      </w:r>
      <w:r>
        <w:rPr>
          <w:rFonts w:hint="eastAsia" w:eastAsia="黑体"/>
          <w:sz w:val="32"/>
          <w:szCs w:val="32"/>
        </w:rPr>
        <w:t>附件</w:t>
      </w:r>
      <w:r>
        <w:rPr>
          <w:rFonts w:eastAsia="黑体"/>
          <w:sz w:val="32"/>
          <w:szCs w:val="32"/>
        </w:rPr>
        <w:t>4-2</w:t>
      </w:r>
    </w:p>
    <w:tbl>
      <w:tblPr>
        <w:tblStyle w:val="4"/>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rFonts w:hint="eastAsia"/>
                <w:color w:val="000000"/>
                <w:kern w:val="0"/>
                <w:sz w:val="22"/>
                <w:lang w:val="en-US" w:eastAsia="zh-CN"/>
              </w:rPr>
              <w:t>2020</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eastAsia="zh-CN"/>
              </w:rPr>
              <w:t>商贸物流产业发展引导资金</w:t>
            </w: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辰溪县商务局</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辰溪县商务局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160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160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111</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69.38</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4</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160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160</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lang w:eastAsia="zh-CN"/>
              </w:rPr>
              <w:t>商贸物流产业发展引导资金</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1个</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1个</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20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lang w:val="en-US" w:eastAsia="zh-CN"/>
              </w:rPr>
              <w:t>20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工程验收合格</w:t>
            </w:r>
            <w:bookmarkStart w:id="0" w:name="_GoBack"/>
            <w:bookmarkEnd w:id="0"/>
            <w:r>
              <w:rPr>
                <w:rFonts w:hint="eastAsia" w:eastAsia="仿宋_GB2312"/>
                <w:color w:val="000000"/>
                <w:kern w:val="0"/>
                <w:szCs w:val="21"/>
                <w:lang w:eastAsia="zh-CN"/>
              </w:rPr>
              <w:t>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产业发展引资资金及时完成率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项目按计划完成率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lang w:eastAsia="zh-CN"/>
              </w:rPr>
              <w:t>发展区域经济力度</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作用</w:t>
            </w:r>
          </w:p>
          <w:p>
            <w:pPr>
              <w:widowControl/>
              <w:spacing w:line="320" w:lineRule="exact"/>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eastAsia="zh-CN"/>
              </w:rPr>
              <w:t>显著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eastAsia="仿宋_GB2312"/>
                <w:color w:val="000000"/>
                <w:kern w:val="0"/>
                <w:szCs w:val="21"/>
                <w:lang w:eastAsia="zh-CN"/>
              </w:rPr>
              <w:t>作用</w:t>
            </w:r>
          </w:p>
          <w:p>
            <w:pPr>
              <w:widowControl/>
              <w:spacing w:line="320" w:lineRule="exact"/>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eastAsia="zh-CN"/>
              </w:rPr>
              <w:t>显著</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30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30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lang w:eastAsia="zh-CN"/>
              </w:rPr>
              <w:t>群众满意度</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default" w:ascii="Arial" w:hAnsi="Arial" w:eastAsia="仿宋_GB2312" w:cs="Arial"/>
                <w:color w:val="000000"/>
                <w:kern w:val="0"/>
                <w:szCs w:val="21"/>
              </w:rPr>
              <w:t>≥</w:t>
            </w:r>
            <w:r>
              <w:rPr>
                <w:rFonts w:hint="eastAsia" w:eastAsia="仿宋_GB2312"/>
                <w:color w:val="000000"/>
                <w:kern w:val="0"/>
                <w:szCs w:val="21"/>
                <w:lang w:val="en-US" w:eastAsia="zh-CN"/>
              </w:rPr>
              <w:t>95%</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94</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spacing w:afterLines="100" w:line="600" w:lineRule="exact"/>
        <w:rPr>
          <w:rFonts w:eastAsia="黑体"/>
          <w:sz w:val="32"/>
          <w:szCs w:val="32"/>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hint="eastAsia" w:eastAsia="方正小标宋_GBK"/>
          <w:sz w:val="36"/>
          <w:szCs w:val="36"/>
        </w:rPr>
      </w:pPr>
    </w:p>
    <w:p>
      <w:pPr>
        <w:spacing w:line="600" w:lineRule="exact"/>
        <w:jc w:val="center"/>
        <w:rPr>
          <w:rFonts w:eastAsia="方正小标宋_GBK"/>
          <w:sz w:val="36"/>
          <w:szCs w:val="36"/>
        </w:rPr>
      </w:pPr>
      <w:r>
        <w:rPr>
          <w:rFonts w:hint="eastAsia" w:eastAsia="方正小标宋_GBK"/>
          <w:sz w:val="36"/>
          <w:szCs w:val="36"/>
        </w:rPr>
        <w:t>预算支出绩效评价报告</w:t>
      </w:r>
    </w:p>
    <w:p>
      <w:pPr>
        <w:spacing w:line="360" w:lineRule="exact"/>
        <w:rPr>
          <w:rFonts w:eastAsia="黑体"/>
          <w:kern w:val="0"/>
          <w:sz w:val="32"/>
          <w:szCs w:val="32"/>
        </w:rPr>
      </w:pPr>
    </w:p>
    <w:p>
      <w:pPr>
        <w:spacing w:line="360" w:lineRule="exact"/>
        <w:rPr>
          <w:rFonts w:eastAsia="黑体"/>
          <w:kern w:val="0"/>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一、预算支出概况</w:t>
      </w:r>
    </w:p>
    <w:p>
      <w:pPr>
        <w:widowControl/>
        <w:spacing w:line="560" w:lineRule="exact"/>
        <w:ind w:firstLine="627" w:firstLineChars="196"/>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（一）项目实施单位基本情况。</w:t>
      </w:r>
    </w:p>
    <w:p>
      <w:pPr>
        <w:widowControl/>
        <w:spacing w:line="560" w:lineRule="exact"/>
        <w:ind w:firstLine="627" w:firstLineChars="196"/>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辰溪县商务局是县政府工作部门，为正科级全额拨款单位。主要职责是：</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贯彻执行国家国内外贸易、国际经济合作和区域经济合作的发展战略、政策，起草我县国内外贸易、招商引资、承接产业转移、对外援助、对外投资和对外经济合作的规范性文件，研究经济全球化、区域经济合作、现代流通方式的发展超势和流通体制改革并提出建议。</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指导和管理全县招商引资、投资促进和承接产业转移工作，拟订并组织实施招商引资和承接产业转移政策：指导投资促进及全县外商投资企业审批备案工作。</w:t>
      </w:r>
    </w:p>
    <w:p>
      <w:pPr>
        <w:numPr>
          <w:ilvl w:val="0"/>
          <w:numId w:val="6"/>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资金基本情况</w:t>
      </w:r>
    </w:p>
    <w:p>
      <w:pPr>
        <w:numPr>
          <w:ilvl w:val="0"/>
          <w:numId w:val="0"/>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资金基本性质</w:t>
      </w:r>
      <w:r>
        <w:rPr>
          <w:rFonts w:hint="eastAsia" w:asciiTheme="minorEastAsia" w:hAnsiTheme="minorEastAsia" w:eastAsiaTheme="minorEastAsia" w:cstheme="minorEastAsia"/>
          <w:sz w:val="32"/>
          <w:szCs w:val="32"/>
          <w:lang w:eastAsia="zh-CN"/>
        </w:rPr>
        <w:t>为一般公共预算资金；资金</w:t>
      </w:r>
      <w:r>
        <w:rPr>
          <w:rFonts w:hint="eastAsia" w:asciiTheme="minorEastAsia" w:hAnsiTheme="minorEastAsia" w:eastAsiaTheme="minorEastAsia" w:cstheme="minorEastAsia"/>
          <w:sz w:val="32"/>
          <w:szCs w:val="32"/>
        </w:rPr>
        <w:t>用途</w:t>
      </w:r>
      <w:r>
        <w:rPr>
          <w:rFonts w:hint="eastAsia" w:asciiTheme="minorEastAsia" w:hAnsiTheme="minorEastAsia" w:eastAsiaTheme="minorEastAsia" w:cstheme="minorEastAsia"/>
          <w:sz w:val="32"/>
          <w:szCs w:val="32"/>
          <w:lang w:eastAsia="zh-CN"/>
        </w:rPr>
        <w:t>是引导辰溪县商贸物流产业链的发展；</w:t>
      </w:r>
      <w:r>
        <w:rPr>
          <w:rFonts w:hint="eastAsia" w:asciiTheme="minorEastAsia" w:hAnsiTheme="minorEastAsia" w:eastAsiaTheme="minorEastAsia" w:cstheme="minorEastAsia"/>
          <w:sz w:val="32"/>
          <w:szCs w:val="32"/>
        </w:rPr>
        <w:t>主要内容</w:t>
      </w:r>
      <w:r>
        <w:rPr>
          <w:rFonts w:hint="eastAsia" w:asciiTheme="minorEastAsia" w:hAnsiTheme="minorEastAsia" w:eastAsiaTheme="minorEastAsia" w:cstheme="minorEastAsia"/>
          <w:sz w:val="32"/>
          <w:szCs w:val="32"/>
          <w:lang w:eastAsia="zh-CN"/>
        </w:rPr>
        <w:t>是支持和服务商贸物流产业的发展，完善商贸物流产业的营商环境</w:t>
      </w:r>
      <w:r>
        <w:rPr>
          <w:rFonts w:hint="eastAsia" w:asciiTheme="minorEastAsia" w:hAnsiTheme="minorEastAsia" w:eastAsiaTheme="minorEastAsia" w:cstheme="minorEastAsia"/>
          <w:sz w:val="32"/>
          <w:szCs w:val="32"/>
        </w:rPr>
        <w:t>。</w:t>
      </w:r>
    </w:p>
    <w:p>
      <w:pPr>
        <w:numPr>
          <w:ilvl w:val="0"/>
          <w:numId w:val="6"/>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资金绩效目标</w:t>
      </w:r>
      <w:r>
        <w:rPr>
          <w:rFonts w:hint="eastAsia" w:asciiTheme="minorEastAsia" w:hAnsiTheme="minorEastAsia" w:eastAsiaTheme="minorEastAsia" w:cstheme="minorEastAsia"/>
          <w:sz w:val="32"/>
          <w:szCs w:val="32"/>
          <w:lang w:eastAsia="zh-CN"/>
        </w:rPr>
        <w:t>。</w:t>
      </w:r>
    </w:p>
    <w:p>
      <w:pPr>
        <w:numPr>
          <w:ilvl w:val="0"/>
          <w:numId w:val="0"/>
        </w:numPr>
        <w:adjustRightInd w:val="0"/>
        <w:snapToGrid w:val="0"/>
        <w:spacing w:line="600" w:lineRule="exact"/>
        <w:ind w:leftChars="200"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总体目标</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为</w:t>
      </w:r>
      <w:r>
        <w:rPr>
          <w:rFonts w:hint="eastAsia" w:asciiTheme="minorEastAsia" w:hAnsiTheme="minorEastAsia" w:eastAsiaTheme="minorEastAsia" w:cstheme="minorEastAsia"/>
          <w:sz w:val="32"/>
          <w:szCs w:val="32"/>
        </w:rPr>
        <w:t>健全</w:t>
      </w:r>
      <w:r>
        <w:rPr>
          <w:rFonts w:hint="eastAsia" w:asciiTheme="minorEastAsia" w:hAnsiTheme="minorEastAsia" w:eastAsiaTheme="minorEastAsia" w:cstheme="minorEastAsia"/>
          <w:sz w:val="32"/>
          <w:szCs w:val="32"/>
          <w:lang w:eastAsia="zh-CN"/>
        </w:rPr>
        <w:t>商贸物流产业</w:t>
      </w:r>
      <w:r>
        <w:rPr>
          <w:rFonts w:hint="eastAsia" w:asciiTheme="minorEastAsia" w:hAnsiTheme="minorEastAsia" w:eastAsiaTheme="minorEastAsia" w:cstheme="minorEastAsia"/>
          <w:sz w:val="32"/>
          <w:szCs w:val="32"/>
        </w:rPr>
        <w:t>，提升</w:t>
      </w:r>
      <w:r>
        <w:rPr>
          <w:rFonts w:hint="eastAsia" w:asciiTheme="minorEastAsia" w:hAnsiTheme="minorEastAsia" w:eastAsiaTheme="minorEastAsia" w:cstheme="minorEastAsia"/>
          <w:sz w:val="32"/>
          <w:szCs w:val="32"/>
          <w:lang w:eastAsia="zh-CN"/>
        </w:rPr>
        <w:t>商贸物流效率，设立了商贸物流产业发展引导资金专项</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eastAsia="zh-CN"/>
        </w:rPr>
        <w:t>。</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年度目标</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提升</w:t>
      </w:r>
      <w:r>
        <w:rPr>
          <w:rFonts w:hint="eastAsia" w:asciiTheme="minorEastAsia" w:hAnsiTheme="minorEastAsia" w:eastAsiaTheme="minorEastAsia" w:cstheme="minorEastAsia"/>
          <w:sz w:val="32"/>
          <w:szCs w:val="32"/>
          <w:lang w:eastAsia="zh-CN"/>
        </w:rPr>
        <w:t>商贸物流效率，扩大商贸物流规模。</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商贸物流产业发展引导资金专项</w:t>
      </w:r>
      <w:r>
        <w:rPr>
          <w:rFonts w:hint="eastAsia" w:ascii="黑体" w:hAnsi="黑体" w:eastAsia="黑体" w:cs="黑体"/>
          <w:b/>
          <w:bCs/>
          <w:sz w:val="32"/>
          <w:szCs w:val="32"/>
        </w:rPr>
        <w:t>资金使用及管理情况</w:t>
      </w:r>
    </w:p>
    <w:p>
      <w:pPr>
        <w:adjustRightInd w:val="0"/>
        <w:snapToGrid w:val="0"/>
        <w:spacing w:line="600" w:lineRule="exact"/>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度</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val="en-US" w:eastAsia="zh-CN"/>
        </w:rPr>
        <w:t>160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全年执行</w:t>
      </w:r>
      <w:r>
        <w:rPr>
          <w:rFonts w:hint="eastAsia" w:asciiTheme="minorEastAsia" w:hAnsiTheme="minorEastAsia" w:eastAsiaTheme="minorEastAsia" w:cstheme="minorEastAsia"/>
          <w:sz w:val="32"/>
          <w:szCs w:val="32"/>
          <w:lang w:val="en-US" w:eastAsia="zh-CN"/>
        </w:rPr>
        <w:t>111万元。</w:t>
      </w:r>
    </w:p>
    <w:p>
      <w:pPr>
        <w:adjustRightInd w:val="0"/>
        <w:snapToGrid w:val="0"/>
        <w:spacing w:line="600" w:lineRule="exact"/>
        <w:ind w:left="319" w:leftChars="152"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资金实际使用情况。截至 2020</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12月31日，项目实际支出</w:t>
      </w:r>
      <w:r>
        <w:rPr>
          <w:rFonts w:hint="eastAsia" w:asciiTheme="minorEastAsia" w:hAnsiTheme="minorEastAsia" w:eastAsiaTheme="minorEastAsia" w:cstheme="minorEastAsia"/>
          <w:sz w:val="32"/>
          <w:szCs w:val="32"/>
          <w:lang w:val="en-US" w:eastAsia="zh-CN"/>
        </w:rPr>
        <w:t>111</w:t>
      </w:r>
      <w:r>
        <w:rPr>
          <w:rFonts w:hint="eastAsia" w:asciiTheme="minorEastAsia" w:hAnsiTheme="minorEastAsia" w:eastAsiaTheme="minorEastAsia" w:cstheme="minorEastAsia"/>
          <w:sz w:val="32"/>
          <w:szCs w:val="32"/>
        </w:rPr>
        <w:t>万元，整体预算执行率为</w:t>
      </w:r>
      <w:r>
        <w:rPr>
          <w:rFonts w:hint="eastAsia" w:asciiTheme="minorEastAsia" w:hAnsiTheme="minorEastAsia" w:eastAsiaTheme="minorEastAsia" w:cstheme="minorEastAsia"/>
          <w:sz w:val="32"/>
          <w:szCs w:val="32"/>
          <w:lang w:val="en-US" w:eastAsia="zh-CN"/>
        </w:rPr>
        <w:t>69.38</w:t>
      </w:r>
      <w:r>
        <w:rPr>
          <w:rFonts w:hint="eastAsia" w:asciiTheme="minorEastAsia" w:hAnsiTheme="minorEastAsia" w:eastAsiaTheme="minorEastAsia" w:cstheme="minorEastAsia"/>
          <w:sz w:val="32"/>
          <w:szCs w:val="32"/>
        </w:rPr>
        <w:t>%。</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eastAsia="zh-CN"/>
        </w:rPr>
        <w:t>严格按照</w:t>
      </w:r>
      <w:r>
        <w:rPr>
          <w:rFonts w:hint="eastAsia" w:asciiTheme="minorEastAsia" w:hAnsiTheme="minorEastAsia" w:eastAsiaTheme="minorEastAsia" w:cstheme="minorEastAsia"/>
          <w:sz w:val="32"/>
          <w:szCs w:val="32"/>
        </w:rPr>
        <w:t>专项</w:t>
      </w:r>
      <w:r>
        <w:rPr>
          <w:rFonts w:hint="eastAsia" w:asciiTheme="minorEastAsia" w:hAnsiTheme="minorEastAsia" w:eastAsiaTheme="minorEastAsia" w:cstheme="minorEastAsia"/>
          <w:sz w:val="32"/>
          <w:szCs w:val="32"/>
          <w:lang w:eastAsia="zh-CN"/>
        </w:rPr>
        <w:t>资金</w:t>
      </w:r>
      <w:r>
        <w:rPr>
          <w:rFonts w:hint="eastAsia" w:asciiTheme="minorEastAsia" w:hAnsiTheme="minorEastAsia" w:eastAsiaTheme="minorEastAsia" w:cstheme="minorEastAsia"/>
          <w:sz w:val="32"/>
          <w:szCs w:val="32"/>
        </w:rPr>
        <w:t>管理制度</w:t>
      </w:r>
      <w:r>
        <w:rPr>
          <w:rFonts w:hint="eastAsia" w:asciiTheme="minorEastAsia" w:hAnsiTheme="minorEastAsia" w:eastAsiaTheme="minorEastAsia" w:cstheme="minorEastAsia"/>
          <w:sz w:val="32"/>
          <w:szCs w:val="32"/>
          <w:lang w:eastAsia="zh-CN"/>
        </w:rPr>
        <w:t>支付</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无违反财经纪律的情况发生。</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w:t>
      </w:r>
      <w:r>
        <w:rPr>
          <w:rFonts w:hint="eastAsia" w:ascii="黑体" w:hAnsi="黑体" w:eastAsia="黑体" w:cs="黑体"/>
          <w:b/>
          <w:bCs/>
          <w:sz w:val="32"/>
          <w:szCs w:val="32"/>
          <w:lang w:eastAsia="zh-CN"/>
        </w:rPr>
        <w:t>商贸物流产业发展引导资金专项</w:t>
      </w:r>
      <w:r>
        <w:rPr>
          <w:rFonts w:hint="eastAsia" w:ascii="黑体" w:hAnsi="黑体" w:eastAsia="黑体" w:cs="黑体"/>
          <w:b/>
          <w:bCs/>
          <w:sz w:val="32"/>
          <w:szCs w:val="32"/>
        </w:rPr>
        <w:t>资金组织实施情况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eastAsia="zh-CN"/>
        </w:rPr>
        <w:t>商贸物流产业发展引导资金专项</w:t>
      </w:r>
      <w:r>
        <w:rPr>
          <w:rFonts w:hint="eastAsia" w:asciiTheme="minorEastAsia" w:hAnsiTheme="minorEastAsia" w:eastAsiaTheme="minorEastAsia" w:cstheme="minorEastAsia"/>
          <w:sz w:val="32"/>
          <w:szCs w:val="32"/>
        </w:rPr>
        <w:t>资金</w:t>
      </w:r>
      <w:r>
        <w:rPr>
          <w:rFonts w:hint="eastAsia" w:asciiTheme="minorEastAsia" w:hAnsiTheme="minorEastAsia" w:eastAsiaTheme="minorEastAsia" w:cstheme="minorEastAsia"/>
          <w:sz w:val="32"/>
          <w:szCs w:val="32"/>
          <w:lang w:eastAsia="zh-CN"/>
        </w:rPr>
        <w:t>的</w:t>
      </w:r>
      <w:r>
        <w:rPr>
          <w:rFonts w:hint="eastAsia" w:asciiTheme="minorEastAsia" w:hAnsiTheme="minorEastAsia" w:eastAsiaTheme="minorEastAsia" w:cstheme="minorEastAsia"/>
          <w:sz w:val="32"/>
          <w:szCs w:val="32"/>
        </w:rPr>
        <w:t>使用，</w:t>
      </w:r>
      <w:r>
        <w:rPr>
          <w:rFonts w:hint="eastAsia" w:asciiTheme="minorEastAsia" w:hAnsiTheme="minorEastAsia" w:eastAsiaTheme="minorEastAsia" w:cstheme="minorEastAsia"/>
          <w:sz w:val="32"/>
          <w:szCs w:val="32"/>
          <w:lang w:eastAsia="zh-CN"/>
        </w:rPr>
        <w:t>接受财政、审计</w:t>
      </w:r>
      <w:r>
        <w:rPr>
          <w:rFonts w:hint="eastAsia" w:asciiTheme="minorEastAsia" w:hAnsiTheme="minorEastAsia" w:eastAsiaTheme="minorEastAsia" w:cstheme="minorEastAsia"/>
          <w:sz w:val="32"/>
          <w:szCs w:val="32"/>
        </w:rPr>
        <w:t>检查监督。</w:t>
      </w:r>
    </w:p>
    <w:p>
      <w:pPr>
        <w:adjustRightInd w:val="0"/>
        <w:snapToGrid w:val="0"/>
        <w:spacing w:line="600" w:lineRule="exact"/>
        <w:ind w:firstLine="640" w:firstLineChars="200"/>
        <w:rPr>
          <w:rFonts w:hint="eastAsia" w:ascii="黑体" w:hAnsi="黑体" w:eastAsia="黑体" w:cs="黑体"/>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eastAsia="zh-CN"/>
        </w:rPr>
        <w:t>商贸物流产业发展引导资金专项严格通过财政相关审核</w:t>
      </w:r>
      <w:r>
        <w:rPr>
          <w:rFonts w:hint="eastAsia" w:ascii="黑体" w:hAnsi="黑体" w:eastAsia="黑体" w:cs="黑体"/>
          <w:sz w:val="32"/>
          <w:szCs w:val="32"/>
        </w:rPr>
        <w:t>。</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商贸物流产业发展引导资金专项</w:t>
      </w:r>
      <w:r>
        <w:rPr>
          <w:rFonts w:hint="eastAsia" w:ascii="黑体" w:hAnsi="黑体" w:eastAsia="黑体" w:cs="黑体"/>
          <w:b/>
          <w:bCs/>
          <w:sz w:val="32"/>
          <w:szCs w:val="32"/>
        </w:rPr>
        <w:t>资金支出绩效情况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（一）预算支出决策情况。</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商贸物流产业发展引导资金专项依据商务局的职能，结合当前提高商贸物流效率的现实需求等设立，决策依据充分，绩效目标设置合理，预算编制科学，资金分配合理。</w:t>
      </w:r>
    </w:p>
    <w:p>
      <w:pPr>
        <w:numPr>
          <w:ilvl w:val="0"/>
          <w:numId w:val="7"/>
        </w:num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预算支出过程情况。</w:t>
      </w:r>
    </w:p>
    <w:p>
      <w:pPr>
        <w:numPr>
          <w:ilvl w:val="0"/>
          <w:numId w:val="0"/>
        </w:num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商贸物流产业发展引导资金专项资金根据</w:t>
      </w:r>
      <w:r>
        <w:rPr>
          <w:rFonts w:hint="eastAsia" w:asciiTheme="minorEastAsia" w:hAnsiTheme="minorEastAsia" w:eastAsiaTheme="minorEastAsia" w:cstheme="minorEastAsia"/>
          <w:sz w:val="32"/>
          <w:szCs w:val="32"/>
        </w:rPr>
        <w:t>相关业务及财务管理制度拨付</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具有完整的审批程序和手续，资金使用合规</w:t>
      </w:r>
      <w:r>
        <w:rPr>
          <w:rFonts w:hint="eastAsia" w:asciiTheme="minorEastAsia" w:hAnsiTheme="minorEastAsia" w:eastAsiaTheme="minorEastAsia" w:cstheme="minorEastAsia"/>
          <w:sz w:val="32"/>
          <w:szCs w:val="32"/>
          <w:lang w:eastAsia="zh-CN"/>
        </w:rPr>
        <w:t>。</w:t>
      </w:r>
    </w:p>
    <w:p>
      <w:pPr>
        <w:numPr>
          <w:ilvl w:val="0"/>
          <w:numId w:val="7"/>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预算支出产出情况。</w:t>
      </w:r>
    </w:p>
    <w:p>
      <w:pPr>
        <w:numPr>
          <w:ilvl w:val="0"/>
          <w:numId w:val="0"/>
        </w:numPr>
        <w:adjustRightInd w:val="0"/>
        <w:snapToGrid w:val="0"/>
        <w:spacing w:line="600" w:lineRule="exact"/>
        <w:ind w:leftChars="200"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商贸物流产业发展引导资金专项资金</w:t>
      </w:r>
      <w:r>
        <w:rPr>
          <w:rFonts w:hint="eastAsia" w:asciiTheme="minorEastAsia" w:hAnsiTheme="minorEastAsia" w:eastAsiaTheme="minorEastAsia" w:cstheme="minorEastAsia"/>
          <w:sz w:val="32"/>
          <w:szCs w:val="32"/>
        </w:rPr>
        <w:t>产出按照预期目标完成，相关工作内容质量达</w:t>
      </w:r>
      <w:r>
        <w:rPr>
          <w:rFonts w:hint="eastAsia" w:asciiTheme="minorEastAsia" w:hAnsiTheme="minorEastAsia" w:eastAsiaTheme="minorEastAsia" w:cstheme="minorEastAsia"/>
          <w:sz w:val="32"/>
          <w:szCs w:val="32"/>
          <w:lang w:eastAsia="zh-CN"/>
        </w:rPr>
        <w:t>标。</w:t>
      </w:r>
    </w:p>
    <w:p>
      <w:pPr>
        <w:numPr>
          <w:ilvl w:val="0"/>
          <w:numId w:val="7"/>
        </w:numPr>
        <w:adjustRightInd w:val="0"/>
        <w:snapToGrid w:val="0"/>
        <w:spacing w:line="60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预算支出效益情况。</w:t>
      </w:r>
    </w:p>
    <w:p>
      <w:pPr>
        <w:numPr>
          <w:ilvl w:val="0"/>
          <w:numId w:val="0"/>
        </w:numPr>
        <w:adjustRightInd w:val="0"/>
        <w:snapToGrid w:val="0"/>
        <w:spacing w:line="600" w:lineRule="exact"/>
        <w:ind w:leftChars="20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商贸物流产业发展专项</w:t>
      </w:r>
      <w:r>
        <w:rPr>
          <w:rFonts w:hint="eastAsia" w:asciiTheme="minorEastAsia" w:hAnsiTheme="minorEastAsia" w:eastAsiaTheme="minorEastAsia" w:cstheme="minorEastAsia"/>
          <w:sz w:val="32"/>
          <w:szCs w:val="32"/>
        </w:rPr>
        <w:t>实施有效提升了</w:t>
      </w:r>
      <w:r>
        <w:rPr>
          <w:rFonts w:hint="eastAsia" w:asciiTheme="minorEastAsia" w:hAnsiTheme="minorEastAsia" w:eastAsiaTheme="minorEastAsia" w:cstheme="minorEastAsia"/>
          <w:sz w:val="32"/>
          <w:szCs w:val="32"/>
          <w:lang w:eastAsia="zh-CN"/>
        </w:rPr>
        <w:t>商贸物流行业的</w:t>
      </w:r>
      <w:r>
        <w:rPr>
          <w:rFonts w:hint="eastAsia" w:asciiTheme="minorEastAsia" w:hAnsiTheme="minorEastAsia" w:eastAsiaTheme="minorEastAsia" w:cstheme="minorEastAsia"/>
          <w:sz w:val="32"/>
          <w:szCs w:val="32"/>
        </w:rPr>
        <w:t>效率和</w:t>
      </w:r>
      <w:r>
        <w:rPr>
          <w:rFonts w:hint="eastAsia" w:asciiTheme="minorEastAsia" w:hAnsiTheme="minorEastAsia" w:eastAsiaTheme="minorEastAsia" w:cstheme="minorEastAsia"/>
          <w:sz w:val="32"/>
          <w:szCs w:val="32"/>
          <w:lang w:eastAsia="zh-CN"/>
        </w:rPr>
        <w:t>支持相关企业的发展</w:t>
      </w:r>
      <w:r>
        <w:rPr>
          <w:rFonts w:hint="eastAsia" w:asciiTheme="minorEastAsia" w:hAnsiTheme="minorEastAsia" w:eastAsiaTheme="minorEastAsia" w:cstheme="minorEastAsia"/>
          <w:sz w:val="32"/>
          <w:szCs w:val="32"/>
        </w:rPr>
        <w:t>，进一步提升了</w:t>
      </w:r>
      <w:r>
        <w:rPr>
          <w:rFonts w:hint="eastAsia" w:asciiTheme="minorEastAsia" w:hAnsiTheme="minorEastAsia" w:eastAsiaTheme="minorEastAsia" w:cstheme="minorEastAsia"/>
          <w:sz w:val="32"/>
          <w:szCs w:val="32"/>
          <w:lang w:eastAsia="zh-CN"/>
        </w:rPr>
        <w:t>我县商贸物流产业承载力。</w:t>
      </w:r>
    </w:p>
    <w:p>
      <w:pPr>
        <w:numPr>
          <w:ilvl w:val="0"/>
          <w:numId w:val="8"/>
        </w:num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主要经验做法、存在的问题及原因分析</w:t>
      </w:r>
    </w:p>
    <w:p>
      <w:pPr>
        <w:numPr>
          <w:ilvl w:val="0"/>
          <w:numId w:val="0"/>
        </w:numPr>
        <w:adjustRightInd w:val="0"/>
        <w:snapToGrid w:val="0"/>
        <w:spacing w:line="600" w:lineRule="exact"/>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（一）绩效指标设置不够合理。</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项目围绕年度绩效目标设置了产出指标、效益指标和满意度指标。但仍存在绩效指标设置不够科学合理的问题，部分项目绩效目标与绩效指标不完全匹配，未能设置充分体现年度预期目标的完成情况的绩效指标。</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（二）财务制度有待更新。</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项目整体层面目前尚无专项管理制度，不利于项目组织实施、过程管理、总结验收等过程管理。部分财务管理制度更新不够及时，有待进一步完善。</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（三）过程监管和成果验收程序不够清晰，项目管理水平有待提升。</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六、有关建议</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（一）全面、合理设置绩效指标，强化绩效目标管理。</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建议结合项目年度工作内容和具体目标，全面、合理设置项目绩效指标，对标每项重点工作内容，确保指标设置能够全面体现工作任务的主要产出和效益。</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（二）健全项目管理制度，促进制度的有效执行。</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议结合项目特征，在现有管理措施的基础上，健全梳理包括项目主要目标、重点工作任务、资金支出范围、组织机构职责、过程监管实施、重要档案管理等内容的专项管理制度，并在后续年度项目实施过程中督促落实，根据现实需求适时调整更新制度内容，不断完善项目组织管理机制。</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（三）明确项目过程监管和验收程序，提升项目管理水平。规范使用财政资金，确保财政资金效益最大化，</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七、其他需要说明的问题</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无</w:t>
      </w:r>
    </w:p>
    <w:p>
      <w:pPr>
        <w:adjustRightInd w:val="0"/>
        <w:snapToGrid w:val="0"/>
        <w:spacing w:line="600" w:lineRule="exact"/>
      </w:pPr>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AB577"/>
    <w:multiLevelType w:val="singleLevel"/>
    <w:tmpl w:val="966AB577"/>
    <w:lvl w:ilvl="0" w:tentative="0">
      <w:start w:val="2"/>
      <w:numFmt w:val="chineseCounting"/>
      <w:suff w:val="nothing"/>
      <w:lvlText w:val="（%1）"/>
      <w:lvlJc w:val="left"/>
      <w:rPr>
        <w:rFonts w:hint="eastAsia"/>
      </w:rPr>
    </w:lvl>
  </w:abstractNum>
  <w:abstractNum w:abstractNumId="1">
    <w:nsid w:val="B8082873"/>
    <w:multiLevelType w:val="singleLevel"/>
    <w:tmpl w:val="B8082873"/>
    <w:lvl w:ilvl="0" w:tentative="0">
      <w:start w:val="5"/>
      <w:numFmt w:val="chineseCounting"/>
      <w:suff w:val="nothing"/>
      <w:lvlText w:val="%1、"/>
      <w:lvlJc w:val="left"/>
      <w:rPr>
        <w:rFonts w:hint="eastAsia"/>
      </w:rPr>
    </w:lvl>
  </w:abstractNum>
  <w:abstractNum w:abstractNumId="2">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2D00791D"/>
    <w:multiLevelType w:val="singleLevel"/>
    <w:tmpl w:val="2D00791D"/>
    <w:lvl w:ilvl="0" w:tentative="0">
      <w:start w:val="2"/>
      <w:numFmt w:val="chineseCounting"/>
      <w:suff w:val="nothing"/>
      <w:lvlText w:val="（%1）"/>
      <w:lvlJc w:val="left"/>
      <w:rPr>
        <w:rFonts w:hint="eastAsia"/>
      </w:rPr>
    </w:lvl>
  </w:abstractNum>
  <w:abstractNum w:abstractNumId="4">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5">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6">
    <w:nsid w:val="5CE9DEB5"/>
    <w:multiLevelType w:val="singleLevel"/>
    <w:tmpl w:val="5CE9DEB5"/>
    <w:lvl w:ilvl="0" w:tentative="0">
      <w:start w:val="1"/>
      <w:numFmt w:val="chineseCounting"/>
      <w:suff w:val="nothing"/>
      <w:lvlText w:val="%1、"/>
      <w:lvlJc w:val="left"/>
      <w:rPr>
        <w:rFonts w:hint="eastAsia"/>
      </w:rPr>
    </w:lvl>
  </w:abstractNum>
  <w:abstractNum w:abstractNumId="7">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6"/>
  </w:num>
  <w:num w:numId="2">
    <w:abstractNumId w:val="4"/>
  </w:num>
  <w:num w:numId="3">
    <w:abstractNumId w:val="2"/>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A1"/>
    <w:rsid w:val="000000A5"/>
    <w:rsid w:val="00022046"/>
    <w:rsid w:val="00037FEA"/>
    <w:rsid w:val="000B0765"/>
    <w:rsid w:val="000B57BC"/>
    <w:rsid w:val="001107A7"/>
    <w:rsid w:val="00162440"/>
    <w:rsid w:val="00174EEF"/>
    <w:rsid w:val="001A127E"/>
    <w:rsid w:val="00234476"/>
    <w:rsid w:val="002530C6"/>
    <w:rsid w:val="002558F7"/>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C7FE9"/>
    <w:rsid w:val="02286EC6"/>
    <w:rsid w:val="0316330D"/>
    <w:rsid w:val="03D90F6A"/>
    <w:rsid w:val="05D45A19"/>
    <w:rsid w:val="0B4F08F2"/>
    <w:rsid w:val="0D394F5B"/>
    <w:rsid w:val="0E2F61DF"/>
    <w:rsid w:val="0F1F5CB8"/>
    <w:rsid w:val="11330526"/>
    <w:rsid w:val="122C77A5"/>
    <w:rsid w:val="14C25AB6"/>
    <w:rsid w:val="16004AB7"/>
    <w:rsid w:val="1A4B6541"/>
    <w:rsid w:val="1AA076F4"/>
    <w:rsid w:val="1ABD6D51"/>
    <w:rsid w:val="1B4A07AC"/>
    <w:rsid w:val="1CB77A42"/>
    <w:rsid w:val="20206E7A"/>
    <w:rsid w:val="20C44F5F"/>
    <w:rsid w:val="21BB2C32"/>
    <w:rsid w:val="258D7BD2"/>
    <w:rsid w:val="260C28C8"/>
    <w:rsid w:val="27676BDE"/>
    <w:rsid w:val="28960A6C"/>
    <w:rsid w:val="292C6EB6"/>
    <w:rsid w:val="2AF63EC8"/>
    <w:rsid w:val="2E470EED"/>
    <w:rsid w:val="2EF70262"/>
    <w:rsid w:val="30166B5F"/>
    <w:rsid w:val="31615426"/>
    <w:rsid w:val="334F6CEE"/>
    <w:rsid w:val="362456C9"/>
    <w:rsid w:val="3637460D"/>
    <w:rsid w:val="3C740E43"/>
    <w:rsid w:val="45E067B7"/>
    <w:rsid w:val="4BA064EE"/>
    <w:rsid w:val="4CCD50A5"/>
    <w:rsid w:val="4E366ADB"/>
    <w:rsid w:val="4E860ED3"/>
    <w:rsid w:val="4EF833C3"/>
    <w:rsid w:val="502004BD"/>
    <w:rsid w:val="563F6E68"/>
    <w:rsid w:val="5C5F355C"/>
    <w:rsid w:val="5FF84767"/>
    <w:rsid w:val="615B3FC2"/>
    <w:rsid w:val="62105A8F"/>
    <w:rsid w:val="64315F59"/>
    <w:rsid w:val="660D4268"/>
    <w:rsid w:val="682C5D3C"/>
    <w:rsid w:val="68353CB0"/>
    <w:rsid w:val="699C560C"/>
    <w:rsid w:val="6AC013B9"/>
    <w:rsid w:val="6D6378CC"/>
    <w:rsid w:val="6DCF223C"/>
    <w:rsid w:val="6EB9706A"/>
    <w:rsid w:val="6F2903D0"/>
    <w:rsid w:val="784B7F4E"/>
    <w:rsid w:val="798D25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 w:type="paragraph" w:styleId="8">
    <w:name w:val="List Paragraph"/>
    <w:basedOn w:val="1"/>
    <w:qFormat/>
    <w:uiPriority w:val="99"/>
    <w:pPr>
      <w:ind w:firstLine="420" w:firstLineChars="200"/>
    </w:pPr>
    <w:rPr>
      <w:rFonts w:ascii="Calibri" w:hAnsi="Calibri"/>
      <w:szCs w:val="22"/>
    </w:rPr>
  </w:style>
  <w:style w:type="paragraph" w:customStyle="1" w:styleId="9">
    <w:name w:val="Defaul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16</Pages>
  <Words>1301</Words>
  <Characters>7417</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2021-01-21T07:46:00Z</dcterms:created>
  <dc:creator>AutoBVT</dc:creator>
  <cp:lastModifiedBy>多多爱</cp:lastModifiedBy>
  <cp:lastPrinted>2021-01-21T01:26:00Z</cp:lastPrinted>
  <dcterms:modified xsi:type="dcterms:W3CDTF">2021-09-08T03:08:43Z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3F69110DE01B4813B9AEBC66C22965C9</vt:lpwstr>
  </property>
</Properties>
</file>